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D8" w:rsidRPr="000237E6" w:rsidRDefault="001D73D8" w:rsidP="000237E6">
      <w:pPr>
        <w:jc w:val="center"/>
        <w:rPr>
          <w:b/>
          <w:sz w:val="28"/>
          <w:szCs w:val="28"/>
        </w:rPr>
      </w:pPr>
      <w:bookmarkStart w:id="0" w:name="_GoBack"/>
      <w:bookmarkEnd w:id="0"/>
      <w:r>
        <w:rPr>
          <w:noProof/>
          <w:sz w:val="28"/>
          <w:szCs w:val="28"/>
          <w:lang w:eastAsia="en-GB"/>
        </w:rPr>
        <w:drawing>
          <wp:anchor distT="0" distB="0" distL="114300" distR="114300" simplePos="0" relativeHeight="251659264" behindDoc="0" locked="0" layoutInCell="1" allowOverlap="1" wp14:anchorId="1FA0F976" wp14:editId="7D8EEF3E">
            <wp:simplePos x="0" y="0"/>
            <wp:positionH relativeFrom="column">
              <wp:posOffset>5395792</wp:posOffset>
            </wp:positionH>
            <wp:positionV relativeFrom="paragraph">
              <wp:posOffset>-649947</wp:posOffset>
            </wp:positionV>
            <wp:extent cx="892175" cy="914400"/>
            <wp:effectExtent l="0" t="0" r="3175" b="0"/>
            <wp:wrapNone/>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9D1CF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1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12C">
        <w:rPr>
          <w:sz w:val="24"/>
          <w:szCs w:val="24"/>
        </w:rPr>
        <w:t>PE and Sport Funding 2018-2019</w:t>
      </w:r>
      <w:r w:rsidR="00D06D58">
        <w:rPr>
          <w:sz w:val="24"/>
          <w:szCs w:val="24"/>
        </w:rPr>
        <w:t xml:space="preserve">: </w:t>
      </w:r>
      <w:r w:rsidRPr="00810FA3">
        <w:rPr>
          <w:sz w:val="24"/>
          <w:szCs w:val="24"/>
        </w:rPr>
        <w:t>Overview of the school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588"/>
        <w:gridCol w:w="2876"/>
      </w:tblGrid>
      <w:tr w:rsidR="001D73D8" w:rsidRPr="00467E55" w:rsidTr="001D73D8">
        <w:trPr>
          <w:trHeight w:val="369"/>
        </w:trPr>
        <w:tc>
          <w:tcPr>
            <w:tcW w:w="9464" w:type="dxa"/>
            <w:gridSpan w:val="2"/>
            <w:shd w:val="clear" w:color="auto" w:fill="C6D9F1"/>
            <w:vAlign w:val="center"/>
          </w:tcPr>
          <w:p w:rsidR="001D73D8" w:rsidRPr="00467E55" w:rsidRDefault="001D73D8" w:rsidP="00A125DA">
            <w:pPr>
              <w:spacing w:after="0"/>
              <w:rPr>
                <w:sz w:val="22"/>
                <w:szCs w:val="22"/>
              </w:rPr>
            </w:pPr>
            <w:r w:rsidRPr="00467E55">
              <w:rPr>
                <w:b/>
                <w:sz w:val="22"/>
                <w:szCs w:val="22"/>
              </w:rPr>
              <w:t xml:space="preserve">Number of pupils and </w:t>
            </w:r>
            <w:r>
              <w:rPr>
                <w:b/>
                <w:sz w:val="22"/>
                <w:szCs w:val="22"/>
              </w:rPr>
              <w:t>PE and sports grant</w:t>
            </w:r>
            <w:r w:rsidRPr="00467E55">
              <w:rPr>
                <w:b/>
                <w:sz w:val="22"/>
                <w:szCs w:val="22"/>
              </w:rPr>
              <w:t xml:space="preserve"> received</w:t>
            </w:r>
          </w:p>
        </w:tc>
      </w:tr>
      <w:tr w:rsidR="001D73D8" w:rsidRPr="00467E55" w:rsidTr="001D73D8">
        <w:trPr>
          <w:trHeight w:val="284"/>
        </w:trPr>
        <w:tc>
          <w:tcPr>
            <w:tcW w:w="6588" w:type="dxa"/>
            <w:vAlign w:val="center"/>
          </w:tcPr>
          <w:p w:rsidR="001D73D8" w:rsidRPr="008E7920" w:rsidRDefault="001D73D8" w:rsidP="00A125DA">
            <w:pPr>
              <w:spacing w:after="0"/>
            </w:pPr>
            <w:r w:rsidRPr="008E7920">
              <w:t>Total number of pupils on roll</w:t>
            </w:r>
          </w:p>
        </w:tc>
        <w:tc>
          <w:tcPr>
            <w:tcW w:w="2876" w:type="dxa"/>
            <w:vAlign w:val="center"/>
          </w:tcPr>
          <w:p w:rsidR="001D73D8" w:rsidRPr="008E7920" w:rsidRDefault="00DD2273" w:rsidP="00A125DA">
            <w:pPr>
              <w:spacing w:after="0"/>
            </w:pPr>
            <w:r>
              <w:t>215</w:t>
            </w:r>
          </w:p>
          <w:p w:rsidR="001D73D8" w:rsidRPr="008E7920" w:rsidRDefault="001D73D8" w:rsidP="00A125DA">
            <w:pPr>
              <w:spacing w:after="0"/>
            </w:pPr>
          </w:p>
        </w:tc>
      </w:tr>
      <w:tr w:rsidR="001D73D8" w:rsidRPr="00467E55" w:rsidTr="001D73D8">
        <w:trPr>
          <w:trHeight w:val="300"/>
        </w:trPr>
        <w:tc>
          <w:tcPr>
            <w:tcW w:w="6588" w:type="dxa"/>
            <w:vAlign w:val="center"/>
          </w:tcPr>
          <w:p w:rsidR="001D73D8" w:rsidRPr="008E7920" w:rsidRDefault="00767441" w:rsidP="00DD2273">
            <w:pPr>
              <w:spacing w:after="0"/>
              <w:rPr>
                <w:b/>
              </w:rPr>
            </w:pPr>
            <w:r>
              <w:rPr>
                <w:b/>
              </w:rPr>
              <w:t>Funding set for 201</w:t>
            </w:r>
            <w:r w:rsidR="00DD2273">
              <w:rPr>
                <w:b/>
              </w:rPr>
              <w:t>8</w:t>
            </w:r>
            <w:r w:rsidR="001D73D8" w:rsidRPr="008E7920">
              <w:rPr>
                <w:b/>
              </w:rPr>
              <w:t>/201</w:t>
            </w:r>
            <w:r w:rsidR="00DD2273">
              <w:rPr>
                <w:b/>
              </w:rPr>
              <w:t>9</w:t>
            </w:r>
          </w:p>
        </w:tc>
        <w:tc>
          <w:tcPr>
            <w:tcW w:w="2876" w:type="dxa"/>
            <w:vAlign w:val="center"/>
          </w:tcPr>
          <w:p w:rsidR="001D73D8" w:rsidRPr="008E7920" w:rsidRDefault="00831A45" w:rsidP="00A125DA">
            <w:pPr>
              <w:spacing w:after="0"/>
            </w:pPr>
            <w:r>
              <w:t>£17,000</w:t>
            </w:r>
          </w:p>
        </w:tc>
      </w:tr>
    </w:tbl>
    <w:p w:rsidR="001D73D8" w:rsidRDefault="001D73D8" w:rsidP="001D73D8"/>
    <w:tbl>
      <w:tblPr>
        <w:tblW w:w="10755"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4A0" w:firstRow="1" w:lastRow="0" w:firstColumn="1" w:lastColumn="0" w:noHBand="0" w:noVBand="1"/>
      </w:tblPr>
      <w:tblGrid>
        <w:gridCol w:w="7920"/>
        <w:gridCol w:w="1276"/>
        <w:gridCol w:w="1559"/>
      </w:tblGrid>
      <w:tr w:rsidR="001D73D8" w:rsidRPr="00467E55" w:rsidTr="00B44668">
        <w:trPr>
          <w:trHeight w:val="484"/>
        </w:trPr>
        <w:tc>
          <w:tcPr>
            <w:tcW w:w="10755" w:type="dxa"/>
            <w:gridSpan w:val="3"/>
            <w:shd w:val="clear" w:color="auto" w:fill="C6D9F1"/>
            <w:vAlign w:val="center"/>
          </w:tcPr>
          <w:p w:rsidR="001D73D8" w:rsidRPr="00467E55" w:rsidRDefault="001D73D8" w:rsidP="00A125DA">
            <w:pPr>
              <w:tabs>
                <w:tab w:val="left" w:pos="6249"/>
              </w:tabs>
              <w:spacing w:after="0"/>
              <w:rPr>
                <w:b/>
                <w:sz w:val="22"/>
                <w:szCs w:val="22"/>
              </w:rPr>
            </w:pPr>
            <w:r w:rsidRPr="00467E55">
              <w:rPr>
                <w:b/>
                <w:sz w:val="22"/>
                <w:szCs w:val="22"/>
              </w:rPr>
              <w:t xml:space="preserve">Summary </w:t>
            </w:r>
            <w:r w:rsidR="00AC4D06">
              <w:rPr>
                <w:b/>
                <w:sz w:val="22"/>
                <w:szCs w:val="22"/>
              </w:rPr>
              <w:t>of PPG spending 2018</w:t>
            </w:r>
            <w:r w:rsidRPr="00467E55">
              <w:rPr>
                <w:b/>
                <w:sz w:val="22"/>
                <w:szCs w:val="22"/>
              </w:rPr>
              <w:t>/1</w:t>
            </w:r>
            <w:r w:rsidR="00AC4D06">
              <w:rPr>
                <w:b/>
                <w:sz w:val="22"/>
                <w:szCs w:val="22"/>
              </w:rPr>
              <w:t>9</w:t>
            </w:r>
          </w:p>
        </w:tc>
      </w:tr>
      <w:tr w:rsidR="001D73D8" w:rsidRPr="00064215" w:rsidTr="00B44668">
        <w:trPr>
          <w:trHeight w:val="3027"/>
        </w:trPr>
        <w:tc>
          <w:tcPr>
            <w:tcW w:w="10755" w:type="dxa"/>
            <w:gridSpan w:val="3"/>
          </w:tcPr>
          <w:p w:rsidR="001D73D8" w:rsidRDefault="001D73D8" w:rsidP="00A125DA">
            <w:pPr>
              <w:tabs>
                <w:tab w:val="left" w:pos="6249"/>
              </w:tabs>
              <w:spacing w:after="120"/>
              <w:rPr>
                <w:b/>
              </w:rPr>
            </w:pPr>
            <w:r w:rsidRPr="006736C9">
              <w:rPr>
                <w:b/>
              </w:rPr>
              <w:t>Objectives in spending</w:t>
            </w:r>
            <w:r>
              <w:rPr>
                <w:b/>
              </w:rPr>
              <w:t>:</w:t>
            </w:r>
          </w:p>
          <w:p w:rsidR="001D73D8" w:rsidRPr="00D603A9" w:rsidRDefault="001D73D8" w:rsidP="001D73D8">
            <w:pPr>
              <w:pStyle w:val="ListParagraph"/>
              <w:numPr>
                <w:ilvl w:val="0"/>
                <w:numId w:val="1"/>
              </w:numPr>
              <w:spacing w:line="240" w:lineRule="auto"/>
              <w:rPr>
                <w:sz w:val="24"/>
                <w:szCs w:val="24"/>
              </w:rPr>
            </w:pPr>
            <w:r w:rsidRPr="00D603A9">
              <w:rPr>
                <w:sz w:val="24"/>
                <w:szCs w:val="24"/>
              </w:rPr>
              <w:t>To improve the provision of PE and sport within the school’s curriculum for Physical Education</w:t>
            </w:r>
            <w:r w:rsidR="00D06D58">
              <w:rPr>
                <w:sz w:val="24"/>
                <w:szCs w:val="24"/>
              </w:rPr>
              <w:t>.</w:t>
            </w:r>
          </w:p>
          <w:p w:rsidR="001D73D8" w:rsidRDefault="001D73D8" w:rsidP="001D73D8">
            <w:pPr>
              <w:pStyle w:val="ListParagraph"/>
              <w:numPr>
                <w:ilvl w:val="0"/>
                <w:numId w:val="1"/>
              </w:numPr>
              <w:spacing w:line="240" w:lineRule="auto"/>
              <w:rPr>
                <w:sz w:val="24"/>
                <w:szCs w:val="24"/>
              </w:rPr>
            </w:pPr>
            <w:r w:rsidRPr="00D603A9">
              <w:rPr>
                <w:sz w:val="24"/>
                <w:szCs w:val="24"/>
              </w:rPr>
              <w:t>To improve the quality of</w:t>
            </w:r>
            <w:r w:rsidR="00D06D58">
              <w:rPr>
                <w:sz w:val="24"/>
                <w:szCs w:val="24"/>
              </w:rPr>
              <w:t xml:space="preserve"> Foundation Stage </w:t>
            </w:r>
            <w:r w:rsidRPr="00D603A9">
              <w:rPr>
                <w:sz w:val="24"/>
                <w:szCs w:val="24"/>
              </w:rPr>
              <w:t>teaching and learning in PE and sport</w:t>
            </w:r>
          </w:p>
          <w:p w:rsidR="001D73D8" w:rsidRPr="00A73111" w:rsidRDefault="001D73D8" w:rsidP="001D73D8">
            <w:pPr>
              <w:pStyle w:val="ListParagraph"/>
              <w:numPr>
                <w:ilvl w:val="0"/>
                <w:numId w:val="1"/>
              </w:numPr>
              <w:spacing w:line="240" w:lineRule="auto"/>
              <w:rPr>
                <w:sz w:val="24"/>
                <w:szCs w:val="24"/>
              </w:rPr>
            </w:pPr>
            <w:r>
              <w:rPr>
                <w:sz w:val="24"/>
                <w:szCs w:val="24"/>
              </w:rPr>
              <w:t>To improve staff knowledge and skills and to increasing confidence in teaching PE</w:t>
            </w:r>
            <w:r w:rsidR="00D06D58">
              <w:rPr>
                <w:sz w:val="24"/>
                <w:szCs w:val="24"/>
              </w:rPr>
              <w:t xml:space="preserve"> in our Pre-School</w:t>
            </w:r>
            <w:r>
              <w:rPr>
                <w:sz w:val="24"/>
                <w:szCs w:val="24"/>
              </w:rPr>
              <w:t>.</w:t>
            </w:r>
          </w:p>
          <w:p w:rsidR="001D73D8" w:rsidRPr="00AC4D06" w:rsidRDefault="001D73D8" w:rsidP="00AC4D06">
            <w:pPr>
              <w:pStyle w:val="ListParagraph"/>
              <w:numPr>
                <w:ilvl w:val="0"/>
                <w:numId w:val="1"/>
              </w:numPr>
              <w:spacing w:line="240" w:lineRule="auto"/>
              <w:rPr>
                <w:sz w:val="24"/>
                <w:szCs w:val="24"/>
              </w:rPr>
            </w:pPr>
            <w:r w:rsidRPr="00D603A9">
              <w:rPr>
                <w:sz w:val="24"/>
                <w:szCs w:val="24"/>
              </w:rPr>
              <w:t>To increase pupils participation</w:t>
            </w:r>
            <w:r w:rsidR="00D06D58">
              <w:rPr>
                <w:sz w:val="24"/>
                <w:szCs w:val="24"/>
              </w:rPr>
              <w:t xml:space="preserve"> to 100%</w:t>
            </w:r>
            <w:r w:rsidRPr="00D603A9">
              <w:rPr>
                <w:sz w:val="24"/>
                <w:szCs w:val="24"/>
              </w:rPr>
              <w:t xml:space="preserve"> in PE and sport</w:t>
            </w:r>
            <w:r w:rsidR="00D06D58">
              <w:rPr>
                <w:sz w:val="24"/>
                <w:szCs w:val="24"/>
              </w:rPr>
              <w:t>.</w:t>
            </w:r>
          </w:p>
          <w:p w:rsidR="001D73D8" w:rsidRDefault="001D73D8" w:rsidP="001D73D8">
            <w:pPr>
              <w:pStyle w:val="ListParagraph"/>
              <w:numPr>
                <w:ilvl w:val="0"/>
                <w:numId w:val="1"/>
              </w:numPr>
              <w:spacing w:line="240" w:lineRule="auto"/>
              <w:rPr>
                <w:sz w:val="24"/>
                <w:szCs w:val="24"/>
              </w:rPr>
            </w:pPr>
            <w:r w:rsidRPr="00D603A9">
              <w:rPr>
                <w:sz w:val="24"/>
                <w:szCs w:val="24"/>
              </w:rPr>
              <w:t>To make use of qualified expertise to support and promote the teaching of PE and sport</w:t>
            </w:r>
            <w:r w:rsidR="00D06D58">
              <w:rPr>
                <w:sz w:val="24"/>
                <w:szCs w:val="24"/>
              </w:rPr>
              <w:t>.</w:t>
            </w:r>
          </w:p>
          <w:p w:rsidR="001D73D8" w:rsidRDefault="001D73D8" w:rsidP="001D73D8">
            <w:pPr>
              <w:pStyle w:val="ListParagraph"/>
              <w:numPr>
                <w:ilvl w:val="0"/>
                <w:numId w:val="1"/>
              </w:numPr>
              <w:spacing w:line="240" w:lineRule="auto"/>
              <w:rPr>
                <w:sz w:val="24"/>
                <w:szCs w:val="24"/>
              </w:rPr>
            </w:pPr>
            <w:r>
              <w:rPr>
                <w:sz w:val="24"/>
                <w:szCs w:val="24"/>
              </w:rPr>
              <w:t>To promote healthier and more active lifestyles through participation in competitions, sporting festivals, PE lessons and across the whole curriculum</w:t>
            </w:r>
            <w:r w:rsidR="00AC4D06">
              <w:rPr>
                <w:sz w:val="24"/>
                <w:szCs w:val="24"/>
              </w:rPr>
              <w:t>.</w:t>
            </w:r>
          </w:p>
          <w:p w:rsidR="00831A45" w:rsidRPr="00AC4D06" w:rsidRDefault="00767441" w:rsidP="00AC4D06">
            <w:pPr>
              <w:pStyle w:val="ListParagraph"/>
              <w:numPr>
                <w:ilvl w:val="0"/>
                <w:numId w:val="1"/>
              </w:numPr>
              <w:spacing w:line="240" w:lineRule="auto"/>
              <w:rPr>
                <w:sz w:val="24"/>
                <w:szCs w:val="24"/>
              </w:rPr>
            </w:pPr>
            <w:r>
              <w:rPr>
                <w:sz w:val="24"/>
                <w:szCs w:val="24"/>
              </w:rPr>
              <w:t xml:space="preserve">To improve staff knowledge &amp; skills to promote positive health &amp; wellbeing. </w:t>
            </w:r>
          </w:p>
        </w:tc>
      </w:tr>
      <w:tr w:rsidR="001D73D8" w:rsidRPr="00467E55" w:rsidTr="00B44668">
        <w:trPr>
          <w:trHeight w:val="385"/>
        </w:trPr>
        <w:tc>
          <w:tcPr>
            <w:tcW w:w="10755" w:type="dxa"/>
            <w:gridSpan w:val="3"/>
          </w:tcPr>
          <w:p w:rsidR="001D73D8" w:rsidRDefault="001D73D8" w:rsidP="00A125DA">
            <w:pPr>
              <w:tabs>
                <w:tab w:val="left" w:pos="6249"/>
              </w:tabs>
              <w:spacing w:after="120"/>
              <w:rPr>
                <w:b/>
              </w:rPr>
            </w:pPr>
            <w:r w:rsidRPr="004B254B">
              <w:rPr>
                <w:b/>
                <w:u w:val="single"/>
              </w:rPr>
              <w:t>Summary of spending and actions taken:</w:t>
            </w:r>
          </w:p>
        </w:tc>
      </w:tr>
      <w:tr w:rsidR="00AC4D06" w:rsidRPr="00467E55" w:rsidTr="00AD1F32">
        <w:trPr>
          <w:trHeight w:val="6266"/>
        </w:trPr>
        <w:tc>
          <w:tcPr>
            <w:tcW w:w="7920" w:type="dxa"/>
          </w:tcPr>
          <w:p w:rsidR="00AC4D06" w:rsidRPr="00AC4D06" w:rsidRDefault="00AC4D06" w:rsidP="00C6212C">
            <w:pPr>
              <w:tabs>
                <w:tab w:val="left" w:pos="6249"/>
              </w:tabs>
              <w:spacing w:after="120"/>
            </w:pPr>
          </w:p>
          <w:p w:rsidR="00AC4D06" w:rsidRPr="00AC4D06" w:rsidRDefault="00AC4D06" w:rsidP="000237E6">
            <w:pPr>
              <w:tabs>
                <w:tab w:val="left" w:pos="6249"/>
              </w:tabs>
              <w:spacing w:after="120"/>
            </w:pPr>
            <w:r w:rsidRPr="00AC4D06">
              <w:t xml:space="preserve">Premier Education – Specialist teacher </w:t>
            </w:r>
            <w:r w:rsidRPr="00AC4D06">
              <w:br/>
            </w:r>
          </w:p>
          <w:p w:rsidR="00AC4D06" w:rsidRPr="00AC4D06" w:rsidRDefault="00AC4D06" w:rsidP="000237E6">
            <w:pPr>
              <w:tabs>
                <w:tab w:val="left" w:pos="6249"/>
              </w:tabs>
              <w:spacing w:after="120"/>
            </w:pPr>
            <w:r w:rsidRPr="00AC4D06">
              <w:t>Transport costs for PE festivals &amp; competitions</w:t>
            </w:r>
            <w:r w:rsidRPr="00AC4D06">
              <w:br/>
            </w:r>
          </w:p>
          <w:p w:rsidR="00AC4D06" w:rsidRPr="00AC4D06" w:rsidRDefault="00AC4D06" w:rsidP="00AC4D06">
            <w:pPr>
              <w:tabs>
                <w:tab w:val="left" w:pos="6249"/>
              </w:tabs>
              <w:spacing w:after="120"/>
            </w:pPr>
            <w:r w:rsidRPr="00AC4D06">
              <w:t xml:space="preserve">Sports and Healthy Lifestyles Week (Summer Term) &amp; Professional Support </w:t>
            </w:r>
            <w:r w:rsidRPr="00AC4D06">
              <w:br/>
            </w:r>
          </w:p>
          <w:p w:rsidR="006A3195" w:rsidRDefault="00AC4D06" w:rsidP="00AC4D06">
            <w:pPr>
              <w:tabs>
                <w:tab w:val="left" w:pos="6249"/>
              </w:tabs>
              <w:spacing w:after="120"/>
            </w:pPr>
            <w:r w:rsidRPr="00AC4D06">
              <w:t xml:space="preserve">Active Play Midday Assistant </w:t>
            </w:r>
          </w:p>
          <w:p w:rsidR="00AC4D06" w:rsidRDefault="006A3195" w:rsidP="00AC4D06">
            <w:pPr>
              <w:tabs>
                <w:tab w:val="left" w:pos="6249"/>
              </w:tabs>
              <w:spacing w:after="120"/>
            </w:pPr>
            <w:r>
              <w:t>Active Play Leader</w:t>
            </w:r>
            <w:r w:rsidR="00AC4D06" w:rsidRPr="00AC4D06">
              <w:br/>
            </w:r>
            <w:r w:rsidR="00AC4D06" w:rsidRPr="00AC4D06">
              <w:br/>
              <w:t>Sports day resources including refreshments and rewards</w:t>
            </w:r>
          </w:p>
          <w:p w:rsidR="006A3195" w:rsidRDefault="006A3195" w:rsidP="00AC4D06">
            <w:pPr>
              <w:tabs>
                <w:tab w:val="left" w:pos="6249"/>
              </w:tabs>
              <w:spacing w:after="120"/>
            </w:pPr>
          </w:p>
          <w:p w:rsidR="006A3195" w:rsidRDefault="006A3195" w:rsidP="00AC4D06">
            <w:pPr>
              <w:tabs>
                <w:tab w:val="left" w:pos="6249"/>
              </w:tabs>
              <w:spacing w:after="120"/>
            </w:pPr>
            <w:r>
              <w:t>Sports Leader monitoring sessions</w:t>
            </w:r>
            <w:r w:rsidR="0000496D">
              <w:t xml:space="preserve"> (6x0.5 supply)</w:t>
            </w:r>
          </w:p>
          <w:p w:rsidR="0000496D" w:rsidRDefault="0000496D" w:rsidP="00AC4D06">
            <w:pPr>
              <w:tabs>
                <w:tab w:val="left" w:pos="6249"/>
              </w:tabs>
              <w:spacing w:after="120"/>
            </w:pPr>
          </w:p>
          <w:p w:rsidR="0000496D" w:rsidRDefault="0000496D" w:rsidP="00AC4D06">
            <w:pPr>
              <w:tabs>
                <w:tab w:val="left" w:pos="6249"/>
              </w:tabs>
              <w:spacing w:after="120"/>
            </w:pPr>
            <w:r>
              <w:t>Staff Professional Development sessions</w:t>
            </w:r>
          </w:p>
          <w:p w:rsidR="00DD2273" w:rsidRDefault="00DD2273" w:rsidP="00AC4D06">
            <w:pPr>
              <w:tabs>
                <w:tab w:val="left" w:pos="6249"/>
              </w:tabs>
              <w:spacing w:after="120"/>
            </w:pPr>
          </w:p>
          <w:p w:rsidR="00DD2273" w:rsidRPr="003204F9" w:rsidRDefault="00656CF7" w:rsidP="00AC4D06">
            <w:pPr>
              <w:tabs>
                <w:tab w:val="left" w:pos="6249"/>
              </w:tabs>
              <w:spacing w:after="120"/>
            </w:pPr>
            <w:r w:rsidRPr="00656CF7">
              <w:rPr>
                <w:highlight w:val="yellow"/>
              </w:rPr>
              <w:t>Carry over from 17-18: Mental Health/ Well-being Support</w:t>
            </w:r>
          </w:p>
        </w:tc>
        <w:tc>
          <w:tcPr>
            <w:tcW w:w="1276" w:type="dxa"/>
          </w:tcPr>
          <w:p w:rsidR="00AC4D06" w:rsidRDefault="00AC4D06" w:rsidP="00A125DA">
            <w:pPr>
              <w:tabs>
                <w:tab w:val="left" w:pos="6249"/>
              </w:tabs>
              <w:spacing w:after="120"/>
              <w:rPr>
                <w:sz w:val="18"/>
                <w:szCs w:val="18"/>
              </w:rPr>
            </w:pPr>
            <w:r>
              <w:rPr>
                <w:sz w:val="18"/>
                <w:szCs w:val="18"/>
              </w:rPr>
              <w:t>Planned for:</w:t>
            </w:r>
          </w:p>
          <w:p w:rsidR="006A3195" w:rsidRDefault="002321D0" w:rsidP="00A125DA">
            <w:pPr>
              <w:tabs>
                <w:tab w:val="left" w:pos="6249"/>
              </w:tabs>
              <w:spacing w:after="120"/>
              <w:rPr>
                <w:sz w:val="18"/>
                <w:szCs w:val="18"/>
              </w:rPr>
            </w:pPr>
            <w:r>
              <w:rPr>
                <w:sz w:val="18"/>
                <w:szCs w:val="18"/>
              </w:rPr>
              <w:t>£7546</w:t>
            </w:r>
            <w:r w:rsidR="00AC4D06">
              <w:rPr>
                <w:sz w:val="18"/>
                <w:szCs w:val="18"/>
              </w:rPr>
              <w:br/>
            </w:r>
          </w:p>
          <w:p w:rsidR="00AC4D06" w:rsidRDefault="006A3195" w:rsidP="00A125DA">
            <w:pPr>
              <w:tabs>
                <w:tab w:val="left" w:pos="6249"/>
              </w:tabs>
              <w:spacing w:after="120"/>
              <w:rPr>
                <w:sz w:val="18"/>
                <w:szCs w:val="18"/>
              </w:rPr>
            </w:pPr>
            <w:r>
              <w:rPr>
                <w:sz w:val="18"/>
                <w:szCs w:val="18"/>
              </w:rPr>
              <w:t>£9</w:t>
            </w:r>
            <w:r w:rsidR="00AC4D06">
              <w:rPr>
                <w:sz w:val="18"/>
                <w:szCs w:val="18"/>
              </w:rPr>
              <w:t>00</w:t>
            </w:r>
          </w:p>
          <w:p w:rsidR="00AC4D06" w:rsidRDefault="00AC4D06" w:rsidP="00A125DA">
            <w:pPr>
              <w:tabs>
                <w:tab w:val="left" w:pos="6249"/>
              </w:tabs>
              <w:spacing w:after="120"/>
              <w:rPr>
                <w:sz w:val="18"/>
                <w:szCs w:val="18"/>
              </w:rPr>
            </w:pPr>
          </w:p>
          <w:p w:rsidR="006A3195" w:rsidRDefault="006A3195" w:rsidP="00A125DA">
            <w:pPr>
              <w:tabs>
                <w:tab w:val="left" w:pos="6249"/>
              </w:tabs>
              <w:spacing w:after="120"/>
              <w:rPr>
                <w:sz w:val="18"/>
                <w:szCs w:val="18"/>
              </w:rPr>
            </w:pPr>
            <w:r w:rsidRPr="00AD1F32">
              <w:rPr>
                <w:sz w:val="18"/>
                <w:szCs w:val="18"/>
                <w:shd w:val="clear" w:color="auto" w:fill="FF0000"/>
              </w:rPr>
              <w:t>£16</w:t>
            </w:r>
            <w:r w:rsidR="00825DFF" w:rsidRPr="00AD1F32">
              <w:rPr>
                <w:sz w:val="18"/>
                <w:szCs w:val="18"/>
                <w:shd w:val="clear" w:color="auto" w:fill="FF0000"/>
              </w:rPr>
              <w:t>00</w:t>
            </w:r>
            <w:r w:rsidR="00825DFF">
              <w:rPr>
                <w:sz w:val="18"/>
                <w:szCs w:val="18"/>
              </w:rPr>
              <w:br/>
            </w:r>
            <w:r w:rsidR="00825DFF">
              <w:rPr>
                <w:sz w:val="18"/>
                <w:szCs w:val="18"/>
              </w:rPr>
              <w:br/>
            </w:r>
            <w:r w:rsidR="00825DFF">
              <w:rPr>
                <w:sz w:val="18"/>
                <w:szCs w:val="18"/>
              </w:rPr>
              <w:br/>
              <w:t>£4500</w:t>
            </w:r>
          </w:p>
          <w:p w:rsidR="006A3195" w:rsidRDefault="006A3195" w:rsidP="00A125DA">
            <w:pPr>
              <w:tabs>
                <w:tab w:val="left" w:pos="6249"/>
              </w:tabs>
              <w:spacing w:after="120"/>
              <w:rPr>
                <w:sz w:val="18"/>
                <w:szCs w:val="18"/>
              </w:rPr>
            </w:pPr>
            <w:r>
              <w:rPr>
                <w:sz w:val="18"/>
                <w:szCs w:val="18"/>
              </w:rPr>
              <w:t>£1518</w:t>
            </w:r>
          </w:p>
          <w:p w:rsidR="00AC4D06" w:rsidRDefault="006A3195" w:rsidP="00A125DA">
            <w:pPr>
              <w:tabs>
                <w:tab w:val="left" w:pos="6249"/>
              </w:tabs>
              <w:spacing w:after="120"/>
              <w:rPr>
                <w:sz w:val="18"/>
                <w:szCs w:val="18"/>
              </w:rPr>
            </w:pPr>
            <w:r>
              <w:rPr>
                <w:sz w:val="18"/>
                <w:szCs w:val="18"/>
              </w:rPr>
              <w:br/>
              <w:t>£100</w:t>
            </w:r>
          </w:p>
          <w:p w:rsidR="0000496D" w:rsidRDefault="0000496D" w:rsidP="00A125DA">
            <w:pPr>
              <w:tabs>
                <w:tab w:val="left" w:pos="6249"/>
              </w:tabs>
              <w:spacing w:after="120"/>
              <w:rPr>
                <w:sz w:val="18"/>
                <w:szCs w:val="18"/>
              </w:rPr>
            </w:pPr>
          </w:p>
          <w:p w:rsidR="0000496D" w:rsidRDefault="0000496D" w:rsidP="00A125DA">
            <w:pPr>
              <w:tabs>
                <w:tab w:val="left" w:pos="6249"/>
              </w:tabs>
              <w:spacing w:after="120"/>
              <w:rPr>
                <w:sz w:val="18"/>
                <w:szCs w:val="18"/>
              </w:rPr>
            </w:pPr>
            <w:r>
              <w:rPr>
                <w:sz w:val="18"/>
                <w:szCs w:val="18"/>
              </w:rPr>
              <w:t>£600</w:t>
            </w:r>
          </w:p>
          <w:p w:rsidR="0000496D" w:rsidRDefault="00656CF7" w:rsidP="00A125DA">
            <w:pPr>
              <w:tabs>
                <w:tab w:val="left" w:pos="6249"/>
              </w:tabs>
              <w:spacing w:after="120"/>
              <w:rPr>
                <w:sz w:val="18"/>
                <w:szCs w:val="18"/>
              </w:rPr>
            </w:pPr>
            <w:r>
              <w:rPr>
                <w:sz w:val="18"/>
                <w:szCs w:val="18"/>
              </w:rPr>
              <w:br/>
            </w:r>
          </w:p>
          <w:p w:rsidR="0000496D" w:rsidRDefault="0000496D" w:rsidP="00A125DA">
            <w:pPr>
              <w:tabs>
                <w:tab w:val="left" w:pos="6249"/>
              </w:tabs>
              <w:spacing w:after="120"/>
              <w:rPr>
                <w:sz w:val="18"/>
                <w:szCs w:val="18"/>
              </w:rPr>
            </w:pPr>
            <w:r>
              <w:rPr>
                <w:sz w:val="18"/>
                <w:szCs w:val="18"/>
              </w:rPr>
              <w:t>£236</w:t>
            </w:r>
          </w:p>
          <w:p w:rsidR="00DD2273" w:rsidRPr="00825DFF" w:rsidRDefault="00656CF7" w:rsidP="00A125DA">
            <w:pPr>
              <w:tabs>
                <w:tab w:val="left" w:pos="6249"/>
              </w:tabs>
              <w:spacing w:after="120"/>
              <w:rPr>
                <w:sz w:val="18"/>
                <w:szCs w:val="18"/>
              </w:rPr>
            </w:pPr>
            <w:r>
              <w:rPr>
                <w:sz w:val="18"/>
                <w:szCs w:val="18"/>
              </w:rPr>
              <w:br/>
            </w:r>
            <w:r w:rsidRPr="00656CF7">
              <w:rPr>
                <w:sz w:val="18"/>
                <w:szCs w:val="18"/>
                <w:highlight w:val="yellow"/>
              </w:rPr>
              <w:t>£1077.50</w:t>
            </w:r>
          </w:p>
          <w:p w:rsidR="00825DFF" w:rsidRPr="00656CF7" w:rsidRDefault="00CF2874" w:rsidP="00A125DA">
            <w:pPr>
              <w:tabs>
                <w:tab w:val="left" w:pos="6249"/>
              </w:tabs>
              <w:spacing w:after="120"/>
              <w:rPr>
                <w:b/>
                <w:sz w:val="18"/>
                <w:szCs w:val="18"/>
              </w:rPr>
            </w:pPr>
            <w:r>
              <w:rPr>
                <w:b/>
                <w:sz w:val="18"/>
                <w:szCs w:val="18"/>
              </w:rPr>
              <w:t>£18,077.50</w:t>
            </w:r>
          </w:p>
        </w:tc>
        <w:tc>
          <w:tcPr>
            <w:tcW w:w="1559" w:type="dxa"/>
          </w:tcPr>
          <w:p w:rsidR="00AC4D06" w:rsidRDefault="00AC4D06" w:rsidP="00A125DA">
            <w:pPr>
              <w:tabs>
                <w:tab w:val="left" w:pos="6249"/>
              </w:tabs>
              <w:spacing w:after="120"/>
              <w:rPr>
                <w:sz w:val="18"/>
                <w:szCs w:val="18"/>
              </w:rPr>
            </w:pPr>
            <w:r>
              <w:rPr>
                <w:sz w:val="18"/>
                <w:szCs w:val="18"/>
              </w:rPr>
              <w:t>Spent:</w:t>
            </w:r>
          </w:p>
          <w:p w:rsidR="00825DFF" w:rsidRDefault="003204F9" w:rsidP="00A125DA">
            <w:pPr>
              <w:tabs>
                <w:tab w:val="left" w:pos="6249"/>
              </w:tabs>
              <w:spacing w:after="120"/>
              <w:rPr>
                <w:sz w:val="18"/>
                <w:szCs w:val="18"/>
              </w:rPr>
            </w:pPr>
            <w:r>
              <w:rPr>
                <w:sz w:val="18"/>
                <w:szCs w:val="18"/>
              </w:rPr>
              <w:t xml:space="preserve">£7617.60 </w:t>
            </w:r>
            <w:r w:rsidRPr="003204F9">
              <w:rPr>
                <w:sz w:val="14"/>
                <w:szCs w:val="18"/>
              </w:rPr>
              <w:t xml:space="preserve">(VAT </w:t>
            </w:r>
            <w:proofErr w:type="spellStart"/>
            <w:r w:rsidRPr="003204F9">
              <w:rPr>
                <w:sz w:val="14"/>
                <w:szCs w:val="18"/>
              </w:rPr>
              <w:t>inc</w:t>
            </w:r>
            <w:proofErr w:type="spellEnd"/>
            <w:r w:rsidRPr="003204F9">
              <w:rPr>
                <w:sz w:val="14"/>
                <w:szCs w:val="18"/>
              </w:rPr>
              <w:t>).</w:t>
            </w:r>
            <w:r>
              <w:rPr>
                <w:sz w:val="18"/>
                <w:szCs w:val="18"/>
              </w:rPr>
              <w:br/>
            </w:r>
            <w:r>
              <w:rPr>
                <w:sz w:val="18"/>
                <w:szCs w:val="18"/>
              </w:rPr>
              <w:br/>
              <w:t>£13</w:t>
            </w:r>
            <w:r w:rsidR="00825DFF">
              <w:rPr>
                <w:sz w:val="18"/>
                <w:szCs w:val="18"/>
              </w:rPr>
              <w:t>0</w:t>
            </w:r>
          </w:p>
          <w:p w:rsidR="00825DFF" w:rsidRDefault="00825DFF" w:rsidP="00A125DA">
            <w:pPr>
              <w:tabs>
                <w:tab w:val="left" w:pos="6249"/>
              </w:tabs>
              <w:spacing w:after="120"/>
              <w:rPr>
                <w:sz w:val="18"/>
                <w:szCs w:val="18"/>
              </w:rPr>
            </w:pPr>
          </w:p>
          <w:p w:rsidR="00825DFF" w:rsidRPr="00AD1F32" w:rsidRDefault="00AD1F32" w:rsidP="00AD1F32">
            <w:pPr>
              <w:shd w:val="clear" w:color="auto" w:fill="FF0000"/>
              <w:tabs>
                <w:tab w:val="left" w:pos="6249"/>
              </w:tabs>
              <w:spacing w:after="120"/>
              <w:rPr>
                <w:sz w:val="16"/>
                <w:szCs w:val="18"/>
              </w:rPr>
            </w:pPr>
            <w:r w:rsidRPr="00AD1F32">
              <w:rPr>
                <w:sz w:val="16"/>
                <w:szCs w:val="18"/>
              </w:rPr>
              <w:t>TO BE CARRED FORWARD</w:t>
            </w:r>
          </w:p>
          <w:p w:rsidR="00825DFF" w:rsidRDefault="00825DFF" w:rsidP="00A125DA">
            <w:pPr>
              <w:tabs>
                <w:tab w:val="left" w:pos="6249"/>
              </w:tabs>
              <w:spacing w:after="120"/>
              <w:rPr>
                <w:sz w:val="18"/>
                <w:szCs w:val="18"/>
              </w:rPr>
            </w:pPr>
            <w:r>
              <w:rPr>
                <w:sz w:val="18"/>
                <w:szCs w:val="18"/>
              </w:rPr>
              <w:br/>
              <w:t>£4500</w:t>
            </w:r>
          </w:p>
          <w:p w:rsidR="00825DFF" w:rsidRDefault="00825DFF" w:rsidP="00A125DA">
            <w:pPr>
              <w:tabs>
                <w:tab w:val="left" w:pos="6249"/>
              </w:tabs>
              <w:spacing w:after="120"/>
              <w:rPr>
                <w:sz w:val="18"/>
                <w:szCs w:val="18"/>
              </w:rPr>
            </w:pPr>
            <w:r>
              <w:rPr>
                <w:sz w:val="18"/>
                <w:szCs w:val="18"/>
              </w:rPr>
              <w:t>£1518</w:t>
            </w:r>
            <w:r>
              <w:rPr>
                <w:sz w:val="18"/>
                <w:szCs w:val="18"/>
              </w:rPr>
              <w:br/>
            </w:r>
          </w:p>
          <w:p w:rsidR="00825DFF" w:rsidRDefault="00825DFF" w:rsidP="00A125DA">
            <w:pPr>
              <w:tabs>
                <w:tab w:val="left" w:pos="6249"/>
              </w:tabs>
              <w:spacing w:after="120"/>
              <w:rPr>
                <w:sz w:val="18"/>
                <w:szCs w:val="18"/>
              </w:rPr>
            </w:pPr>
            <w:r>
              <w:rPr>
                <w:sz w:val="18"/>
                <w:szCs w:val="18"/>
              </w:rPr>
              <w:t>£13</w:t>
            </w:r>
            <w:r w:rsidR="003204F9">
              <w:rPr>
                <w:sz w:val="18"/>
                <w:szCs w:val="18"/>
              </w:rPr>
              <w:t xml:space="preserve"> </w:t>
            </w:r>
          </w:p>
          <w:p w:rsidR="00825DFF" w:rsidRDefault="00825DFF" w:rsidP="00A125DA">
            <w:pPr>
              <w:tabs>
                <w:tab w:val="left" w:pos="6249"/>
              </w:tabs>
              <w:spacing w:after="120"/>
              <w:rPr>
                <w:sz w:val="18"/>
                <w:szCs w:val="18"/>
              </w:rPr>
            </w:pPr>
          </w:p>
          <w:p w:rsidR="00825DFF" w:rsidRDefault="00AD1F32" w:rsidP="00A125DA">
            <w:pPr>
              <w:tabs>
                <w:tab w:val="left" w:pos="6249"/>
              </w:tabs>
              <w:spacing w:after="120"/>
              <w:rPr>
                <w:sz w:val="18"/>
                <w:szCs w:val="18"/>
              </w:rPr>
            </w:pPr>
            <w:r>
              <w:rPr>
                <w:sz w:val="18"/>
                <w:szCs w:val="18"/>
              </w:rPr>
              <w:t>£600 (Mental Health)</w:t>
            </w:r>
            <w:r w:rsidR="00FB1091">
              <w:rPr>
                <w:sz w:val="18"/>
                <w:szCs w:val="18"/>
              </w:rPr>
              <w:br/>
            </w:r>
          </w:p>
          <w:p w:rsidR="00825DFF" w:rsidRDefault="00AD1F32" w:rsidP="00A125DA">
            <w:pPr>
              <w:tabs>
                <w:tab w:val="left" w:pos="6249"/>
              </w:tabs>
              <w:spacing w:after="120"/>
              <w:rPr>
                <w:sz w:val="18"/>
                <w:szCs w:val="18"/>
              </w:rPr>
            </w:pPr>
            <w:r>
              <w:rPr>
                <w:sz w:val="18"/>
                <w:szCs w:val="18"/>
              </w:rPr>
              <w:t>£236</w:t>
            </w:r>
          </w:p>
          <w:p w:rsidR="00AD1F32" w:rsidRDefault="00AD1F32" w:rsidP="00A125DA">
            <w:pPr>
              <w:tabs>
                <w:tab w:val="left" w:pos="6249"/>
              </w:tabs>
              <w:spacing w:after="120"/>
              <w:rPr>
                <w:sz w:val="18"/>
                <w:szCs w:val="18"/>
              </w:rPr>
            </w:pPr>
          </w:p>
          <w:p w:rsidR="00825DFF" w:rsidRPr="00AD1F32" w:rsidRDefault="00AD1F32" w:rsidP="00A125DA">
            <w:pPr>
              <w:tabs>
                <w:tab w:val="left" w:pos="6249"/>
              </w:tabs>
              <w:spacing w:after="120"/>
              <w:rPr>
                <w:b/>
                <w:sz w:val="18"/>
                <w:szCs w:val="18"/>
              </w:rPr>
            </w:pPr>
            <w:r w:rsidRPr="00AD1F32">
              <w:rPr>
                <w:b/>
                <w:szCs w:val="18"/>
              </w:rPr>
              <w:t>SPENT: £14,614.40</w:t>
            </w:r>
          </w:p>
        </w:tc>
      </w:tr>
      <w:tr w:rsidR="00825DFF" w:rsidRPr="00467E55" w:rsidTr="00A125DA">
        <w:trPr>
          <w:trHeight w:val="449"/>
        </w:trPr>
        <w:tc>
          <w:tcPr>
            <w:tcW w:w="10755" w:type="dxa"/>
            <w:gridSpan w:val="3"/>
          </w:tcPr>
          <w:p w:rsidR="00825DFF" w:rsidRPr="003204F9" w:rsidRDefault="003204F9" w:rsidP="00A125DA">
            <w:pPr>
              <w:tabs>
                <w:tab w:val="left" w:pos="6249"/>
              </w:tabs>
              <w:spacing w:after="120"/>
              <w:rPr>
                <w:b/>
                <w:sz w:val="18"/>
                <w:szCs w:val="18"/>
              </w:rPr>
            </w:pPr>
            <w:r>
              <w:rPr>
                <w:b/>
              </w:rPr>
              <w:t xml:space="preserve">Noted: </w:t>
            </w:r>
            <w:r w:rsidR="00F17ABA" w:rsidRPr="003204F9">
              <w:rPr>
                <w:b/>
              </w:rPr>
              <w:t xml:space="preserve"> </w:t>
            </w:r>
            <w:r w:rsidR="00825DFF" w:rsidRPr="003204F9">
              <w:rPr>
                <w:b/>
              </w:rPr>
              <w:t>By charging £2.50 for each after-s</w:t>
            </w:r>
            <w:r w:rsidRPr="003204F9">
              <w:rPr>
                <w:b/>
              </w:rPr>
              <w:t>chool session</w:t>
            </w:r>
            <w:r>
              <w:rPr>
                <w:b/>
              </w:rPr>
              <w:t xml:space="preserve"> during 18-19</w:t>
            </w:r>
            <w:r w:rsidRPr="003204F9">
              <w:rPr>
                <w:b/>
              </w:rPr>
              <w:t xml:space="preserve">, we had </w:t>
            </w:r>
            <w:r w:rsidRPr="009A3FDE">
              <w:rPr>
                <w:b/>
                <w:shd w:val="clear" w:color="auto" w:fill="FFFF00"/>
              </w:rPr>
              <w:t>£1471.50</w:t>
            </w:r>
            <w:r w:rsidR="00825DFF" w:rsidRPr="003204F9">
              <w:rPr>
                <w:b/>
              </w:rPr>
              <w:t xml:space="preserve"> come back into the budget.</w:t>
            </w:r>
          </w:p>
        </w:tc>
      </w:tr>
    </w:tbl>
    <w:p w:rsidR="00E725EB" w:rsidRPr="00A125DA" w:rsidRDefault="00E725EB" w:rsidP="00E725EB">
      <w:pPr>
        <w:tabs>
          <w:tab w:val="left" w:pos="8098"/>
        </w:tabs>
        <w:rPr>
          <w:b/>
        </w:rPr>
      </w:pPr>
      <w:r>
        <w:rPr>
          <w:b/>
        </w:rPr>
        <w:lastRenderedPageBreak/>
        <w:t>The data provided does not show follow-on of each class; the table shows an increase or decrease in percentages achieving at that level.</w:t>
      </w:r>
    </w:p>
    <w:p w:rsidR="00825DFF" w:rsidRDefault="00825DFF" w:rsidP="00D302E5"/>
    <w:p w:rsidR="00E725EB" w:rsidRDefault="00E725EB" w:rsidP="00D302E5"/>
    <w:p w:rsidR="00E725EB" w:rsidRDefault="00E725EB" w:rsidP="00D302E5"/>
    <w:p w:rsidR="00E725EB" w:rsidRDefault="00E725EB" w:rsidP="00D302E5"/>
    <w:tbl>
      <w:tblPr>
        <w:tblpPr w:leftFromText="180" w:rightFromText="180" w:vertAnchor="text" w:horzAnchor="margin" w:tblpXSpec="center" w:tblpY="-1605"/>
        <w:tblW w:w="7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465"/>
        <w:gridCol w:w="1160"/>
        <w:gridCol w:w="1094"/>
        <w:gridCol w:w="2041"/>
        <w:gridCol w:w="2218"/>
      </w:tblGrid>
      <w:tr w:rsidR="00825DFF" w:rsidRPr="00467E55" w:rsidTr="009F4976">
        <w:trPr>
          <w:trHeight w:val="452"/>
        </w:trPr>
        <w:tc>
          <w:tcPr>
            <w:tcW w:w="7978" w:type="dxa"/>
            <w:gridSpan w:val="5"/>
            <w:shd w:val="clear" w:color="auto" w:fill="95B3D7" w:themeFill="accent1" w:themeFillTint="99"/>
          </w:tcPr>
          <w:p w:rsidR="00825DFF" w:rsidRPr="00467E55" w:rsidRDefault="00825DFF" w:rsidP="00E725EB">
            <w:pPr>
              <w:tabs>
                <w:tab w:val="left" w:pos="6249"/>
              </w:tabs>
              <w:spacing w:after="40"/>
              <w:rPr>
                <w:b/>
                <w:sz w:val="22"/>
                <w:szCs w:val="22"/>
              </w:rPr>
            </w:pPr>
            <w:r>
              <w:rPr>
                <w:b/>
                <w:sz w:val="22"/>
                <w:szCs w:val="22"/>
              </w:rPr>
              <w:t xml:space="preserve">Performance of pupils: </w:t>
            </w:r>
            <w:r>
              <w:rPr>
                <w:b/>
                <w:sz w:val="18"/>
                <w:szCs w:val="18"/>
              </w:rPr>
              <w:t>2017-2018 compared to 18-19</w:t>
            </w:r>
          </w:p>
        </w:tc>
      </w:tr>
      <w:tr w:rsidR="00825DFF" w:rsidRPr="00467E55" w:rsidTr="009F4976">
        <w:trPr>
          <w:trHeight w:val="447"/>
        </w:trPr>
        <w:tc>
          <w:tcPr>
            <w:tcW w:w="1465" w:type="dxa"/>
            <w:vMerge w:val="restart"/>
            <w:vAlign w:val="center"/>
          </w:tcPr>
          <w:p w:rsidR="00825DFF" w:rsidRPr="00467E55" w:rsidRDefault="00825DFF" w:rsidP="00E725EB">
            <w:pPr>
              <w:tabs>
                <w:tab w:val="left" w:pos="6249"/>
              </w:tabs>
              <w:spacing w:after="0"/>
              <w:jc w:val="center"/>
            </w:pPr>
            <w:r>
              <w:t>Foundation Stage</w:t>
            </w:r>
          </w:p>
        </w:tc>
        <w:tc>
          <w:tcPr>
            <w:tcW w:w="1160" w:type="dxa"/>
            <w:vMerge w:val="restart"/>
            <w:shd w:val="clear" w:color="auto" w:fill="auto"/>
            <w:vAlign w:val="center"/>
          </w:tcPr>
          <w:p w:rsidR="00825DFF" w:rsidRPr="00B330B6" w:rsidRDefault="00825DFF" w:rsidP="00E725EB">
            <w:pPr>
              <w:tabs>
                <w:tab w:val="left" w:pos="6249"/>
              </w:tabs>
              <w:spacing w:after="0"/>
              <w:rPr>
                <w:sz w:val="16"/>
                <w:szCs w:val="16"/>
              </w:rPr>
            </w:pPr>
            <w:r>
              <w:rPr>
                <w:sz w:val="16"/>
                <w:szCs w:val="16"/>
              </w:rPr>
              <w:t>Not Meeting A.R.E</w:t>
            </w:r>
          </w:p>
        </w:tc>
        <w:tc>
          <w:tcPr>
            <w:tcW w:w="1094" w:type="dxa"/>
            <w:shd w:val="clear" w:color="auto" w:fill="auto"/>
            <w:vAlign w:val="center"/>
          </w:tcPr>
          <w:p w:rsidR="00825DFF" w:rsidRPr="00B330B6" w:rsidRDefault="00825DFF" w:rsidP="00E725EB">
            <w:pPr>
              <w:tabs>
                <w:tab w:val="left" w:pos="6249"/>
              </w:tabs>
              <w:spacing w:after="0"/>
              <w:rPr>
                <w:sz w:val="16"/>
                <w:szCs w:val="16"/>
              </w:rPr>
            </w:pPr>
            <w:r>
              <w:rPr>
                <w:sz w:val="16"/>
                <w:szCs w:val="16"/>
              </w:rPr>
              <w:t>F2LS</w:t>
            </w:r>
          </w:p>
        </w:tc>
        <w:tc>
          <w:tcPr>
            <w:tcW w:w="2041" w:type="dxa"/>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10%</w:t>
            </w:r>
          </w:p>
        </w:tc>
        <w:tc>
          <w:tcPr>
            <w:tcW w:w="2218" w:type="dxa"/>
            <w:shd w:val="clear" w:color="auto" w:fill="DBE5F1" w:themeFill="accent1" w:themeFillTint="33"/>
            <w:vAlign w:val="center"/>
          </w:tcPr>
          <w:p w:rsidR="00825DFF" w:rsidRDefault="00F17ABA" w:rsidP="00E725EB">
            <w:pPr>
              <w:tabs>
                <w:tab w:val="left" w:pos="6249"/>
              </w:tabs>
              <w:jc w:val="center"/>
              <w:rPr>
                <w:sz w:val="18"/>
                <w:szCs w:val="18"/>
              </w:rPr>
            </w:pPr>
            <w:r>
              <w:rPr>
                <w:sz w:val="18"/>
                <w:szCs w:val="18"/>
              </w:rPr>
              <w:t>7%</w:t>
            </w:r>
          </w:p>
        </w:tc>
      </w:tr>
      <w:tr w:rsidR="00825DFF" w:rsidRPr="00467E55" w:rsidTr="009F4976">
        <w:trPr>
          <w:trHeight w:val="447"/>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rPr>
                <w:sz w:val="16"/>
                <w:szCs w:val="16"/>
              </w:rPr>
            </w:pPr>
          </w:p>
        </w:tc>
        <w:tc>
          <w:tcPr>
            <w:tcW w:w="1094" w:type="dxa"/>
            <w:tcBorders>
              <w:bottom w:val="single" w:sz="4" w:space="0" w:color="auto"/>
            </w:tcBorders>
            <w:shd w:val="clear" w:color="auto" w:fill="auto"/>
            <w:vAlign w:val="center"/>
          </w:tcPr>
          <w:p w:rsidR="00825DFF" w:rsidRDefault="00825DFF" w:rsidP="00E725EB">
            <w:pPr>
              <w:tabs>
                <w:tab w:val="left" w:pos="6249"/>
              </w:tabs>
              <w:spacing w:after="0"/>
              <w:rPr>
                <w:sz w:val="16"/>
                <w:szCs w:val="16"/>
              </w:rPr>
            </w:pPr>
            <w:r>
              <w:rPr>
                <w:sz w:val="16"/>
                <w:szCs w:val="16"/>
              </w:rPr>
              <w:t>F2EH</w:t>
            </w:r>
          </w:p>
        </w:tc>
        <w:tc>
          <w:tcPr>
            <w:tcW w:w="2041" w:type="dxa"/>
            <w:tcBorders>
              <w:bottom w:val="single" w:sz="4" w:space="0" w:color="auto"/>
            </w:tcBorders>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0%</w:t>
            </w:r>
          </w:p>
        </w:tc>
        <w:tc>
          <w:tcPr>
            <w:tcW w:w="2218" w:type="dxa"/>
            <w:tcBorders>
              <w:bottom w:val="single" w:sz="4" w:space="0" w:color="auto"/>
            </w:tcBorders>
            <w:shd w:val="clear" w:color="auto" w:fill="DBE5F1" w:themeFill="accent1" w:themeFillTint="33"/>
            <w:vAlign w:val="center"/>
          </w:tcPr>
          <w:p w:rsidR="00825DFF" w:rsidRDefault="00F17ABA" w:rsidP="00E725EB">
            <w:pPr>
              <w:tabs>
                <w:tab w:val="left" w:pos="6249"/>
              </w:tabs>
              <w:jc w:val="center"/>
              <w:rPr>
                <w:sz w:val="18"/>
                <w:szCs w:val="18"/>
              </w:rPr>
            </w:pPr>
            <w:r>
              <w:rPr>
                <w:sz w:val="18"/>
                <w:szCs w:val="18"/>
              </w:rPr>
              <w:t>0%</w:t>
            </w:r>
          </w:p>
        </w:tc>
      </w:tr>
      <w:tr w:rsidR="00825DFF" w:rsidRPr="00467E55" w:rsidTr="009F4976">
        <w:trPr>
          <w:trHeight w:val="447"/>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rPr>
                <w:sz w:val="16"/>
                <w:szCs w:val="16"/>
              </w:rPr>
            </w:pPr>
          </w:p>
        </w:tc>
        <w:tc>
          <w:tcPr>
            <w:tcW w:w="1094" w:type="dxa"/>
            <w:shd w:val="clear" w:color="auto" w:fill="auto"/>
            <w:vAlign w:val="center"/>
          </w:tcPr>
          <w:p w:rsidR="00825DFF" w:rsidRDefault="00825DFF" w:rsidP="00E725EB">
            <w:pPr>
              <w:tabs>
                <w:tab w:val="left" w:pos="6249"/>
              </w:tabs>
              <w:spacing w:after="0"/>
              <w:rPr>
                <w:sz w:val="16"/>
                <w:szCs w:val="16"/>
              </w:rPr>
            </w:pPr>
            <w:r>
              <w:rPr>
                <w:sz w:val="16"/>
                <w:szCs w:val="16"/>
              </w:rPr>
              <w:t>All F2</w:t>
            </w:r>
          </w:p>
        </w:tc>
        <w:tc>
          <w:tcPr>
            <w:tcW w:w="2041" w:type="dxa"/>
            <w:shd w:val="clear" w:color="auto" w:fill="CCC0D9"/>
            <w:vAlign w:val="center"/>
          </w:tcPr>
          <w:p w:rsidR="00825DFF" w:rsidRDefault="00825DFF" w:rsidP="00E725EB">
            <w:pPr>
              <w:tabs>
                <w:tab w:val="left" w:pos="6249"/>
              </w:tabs>
              <w:jc w:val="center"/>
              <w:rPr>
                <w:sz w:val="18"/>
                <w:szCs w:val="18"/>
              </w:rPr>
            </w:pPr>
            <w:r>
              <w:rPr>
                <w:sz w:val="18"/>
                <w:szCs w:val="18"/>
              </w:rPr>
              <w:t>5%</w:t>
            </w:r>
          </w:p>
        </w:tc>
        <w:tc>
          <w:tcPr>
            <w:tcW w:w="2218" w:type="dxa"/>
            <w:shd w:val="clear" w:color="auto" w:fill="95B3D7" w:themeFill="accent1" w:themeFillTint="99"/>
            <w:vAlign w:val="center"/>
          </w:tcPr>
          <w:p w:rsidR="00825DFF" w:rsidRDefault="00F17ABA" w:rsidP="00E725EB">
            <w:pPr>
              <w:tabs>
                <w:tab w:val="left" w:pos="6249"/>
              </w:tabs>
              <w:jc w:val="center"/>
              <w:rPr>
                <w:sz w:val="18"/>
                <w:szCs w:val="18"/>
              </w:rPr>
            </w:pPr>
            <w:r>
              <w:rPr>
                <w:sz w:val="18"/>
                <w:szCs w:val="18"/>
              </w:rPr>
              <w:t>3%</w:t>
            </w:r>
          </w:p>
        </w:tc>
      </w:tr>
      <w:tr w:rsidR="00825DFF" w:rsidRPr="00467E55" w:rsidTr="009F4976">
        <w:trPr>
          <w:trHeight w:val="374"/>
        </w:trPr>
        <w:tc>
          <w:tcPr>
            <w:tcW w:w="1465" w:type="dxa"/>
            <w:vMerge/>
            <w:vAlign w:val="center"/>
          </w:tcPr>
          <w:p w:rsidR="00825DFF" w:rsidRDefault="00825DFF" w:rsidP="00E725EB">
            <w:pPr>
              <w:tabs>
                <w:tab w:val="left" w:pos="6249"/>
              </w:tabs>
              <w:spacing w:after="0"/>
            </w:pPr>
          </w:p>
        </w:tc>
        <w:tc>
          <w:tcPr>
            <w:tcW w:w="1160" w:type="dxa"/>
            <w:vMerge w:val="restart"/>
            <w:shd w:val="clear" w:color="auto" w:fill="auto"/>
            <w:vAlign w:val="center"/>
          </w:tcPr>
          <w:p w:rsidR="00825DFF" w:rsidRPr="00B330B6" w:rsidRDefault="00825DFF" w:rsidP="00E725EB">
            <w:pPr>
              <w:tabs>
                <w:tab w:val="left" w:pos="6249"/>
              </w:tabs>
              <w:spacing w:after="0"/>
              <w:rPr>
                <w:sz w:val="16"/>
                <w:szCs w:val="16"/>
              </w:rPr>
            </w:pPr>
            <w:r>
              <w:rPr>
                <w:sz w:val="16"/>
                <w:szCs w:val="16"/>
              </w:rPr>
              <w:t>Meeting A.R.E</w:t>
            </w:r>
          </w:p>
        </w:tc>
        <w:tc>
          <w:tcPr>
            <w:tcW w:w="1094" w:type="dxa"/>
            <w:shd w:val="clear" w:color="auto" w:fill="auto"/>
            <w:vAlign w:val="center"/>
          </w:tcPr>
          <w:p w:rsidR="00825DFF" w:rsidRPr="00B330B6" w:rsidRDefault="00825DFF" w:rsidP="00E725EB">
            <w:pPr>
              <w:tabs>
                <w:tab w:val="left" w:pos="6249"/>
              </w:tabs>
              <w:spacing w:after="0"/>
              <w:rPr>
                <w:sz w:val="16"/>
                <w:szCs w:val="16"/>
              </w:rPr>
            </w:pPr>
            <w:r>
              <w:rPr>
                <w:sz w:val="16"/>
                <w:szCs w:val="16"/>
              </w:rPr>
              <w:t>F2LS</w:t>
            </w:r>
          </w:p>
        </w:tc>
        <w:tc>
          <w:tcPr>
            <w:tcW w:w="2041" w:type="dxa"/>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90%</w:t>
            </w:r>
          </w:p>
        </w:tc>
        <w:tc>
          <w:tcPr>
            <w:tcW w:w="2218" w:type="dxa"/>
            <w:shd w:val="clear" w:color="auto" w:fill="DBE5F1" w:themeFill="accent1" w:themeFillTint="33"/>
            <w:vAlign w:val="center"/>
          </w:tcPr>
          <w:p w:rsidR="00825DFF" w:rsidRDefault="00F17ABA" w:rsidP="00E725EB">
            <w:pPr>
              <w:tabs>
                <w:tab w:val="left" w:pos="6249"/>
              </w:tabs>
              <w:jc w:val="center"/>
              <w:rPr>
                <w:sz w:val="18"/>
                <w:szCs w:val="18"/>
              </w:rPr>
            </w:pPr>
            <w:r>
              <w:rPr>
                <w:sz w:val="18"/>
                <w:szCs w:val="18"/>
              </w:rPr>
              <w:t>93%</w:t>
            </w:r>
          </w:p>
        </w:tc>
      </w:tr>
      <w:tr w:rsidR="00825DFF" w:rsidRPr="00467E55" w:rsidTr="009F4976">
        <w:trPr>
          <w:trHeight w:val="410"/>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pPr>
          </w:p>
        </w:tc>
        <w:tc>
          <w:tcPr>
            <w:tcW w:w="1094" w:type="dxa"/>
            <w:tcBorders>
              <w:bottom w:val="single" w:sz="4" w:space="0" w:color="auto"/>
            </w:tcBorders>
            <w:shd w:val="clear" w:color="auto" w:fill="auto"/>
            <w:vAlign w:val="center"/>
          </w:tcPr>
          <w:p w:rsidR="00825DFF" w:rsidRDefault="00825DFF" w:rsidP="00E725EB">
            <w:pPr>
              <w:tabs>
                <w:tab w:val="left" w:pos="6249"/>
              </w:tabs>
              <w:spacing w:after="0"/>
              <w:rPr>
                <w:sz w:val="16"/>
                <w:szCs w:val="16"/>
              </w:rPr>
            </w:pPr>
            <w:r>
              <w:rPr>
                <w:sz w:val="16"/>
                <w:szCs w:val="16"/>
              </w:rPr>
              <w:t>F2EH</w:t>
            </w:r>
          </w:p>
        </w:tc>
        <w:tc>
          <w:tcPr>
            <w:tcW w:w="2041" w:type="dxa"/>
            <w:tcBorders>
              <w:bottom w:val="single" w:sz="4" w:space="0" w:color="auto"/>
            </w:tcBorders>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100%</w:t>
            </w:r>
          </w:p>
        </w:tc>
        <w:tc>
          <w:tcPr>
            <w:tcW w:w="2218" w:type="dxa"/>
            <w:tcBorders>
              <w:bottom w:val="single" w:sz="4" w:space="0" w:color="auto"/>
            </w:tcBorders>
            <w:shd w:val="clear" w:color="auto" w:fill="DBE5F1" w:themeFill="accent1" w:themeFillTint="33"/>
            <w:vAlign w:val="center"/>
          </w:tcPr>
          <w:p w:rsidR="00825DFF" w:rsidRDefault="00F17ABA" w:rsidP="00E725EB">
            <w:pPr>
              <w:tabs>
                <w:tab w:val="left" w:pos="6249"/>
              </w:tabs>
              <w:jc w:val="center"/>
              <w:rPr>
                <w:sz w:val="18"/>
                <w:szCs w:val="18"/>
              </w:rPr>
            </w:pPr>
            <w:r>
              <w:rPr>
                <w:sz w:val="18"/>
                <w:szCs w:val="18"/>
              </w:rPr>
              <w:t>100%</w:t>
            </w:r>
          </w:p>
        </w:tc>
      </w:tr>
      <w:tr w:rsidR="00825DFF" w:rsidRPr="00467E55" w:rsidTr="009F4976">
        <w:trPr>
          <w:trHeight w:val="432"/>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pPr>
          </w:p>
        </w:tc>
        <w:tc>
          <w:tcPr>
            <w:tcW w:w="1094" w:type="dxa"/>
            <w:shd w:val="clear" w:color="auto" w:fill="auto"/>
            <w:vAlign w:val="center"/>
          </w:tcPr>
          <w:p w:rsidR="00825DFF" w:rsidRDefault="00825DFF" w:rsidP="00E725EB">
            <w:pPr>
              <w:tabs>
                <w:tab w:val="left" w:pos="6249"/>
              </w:tabs>
              <w:spacing w:after="0"/>
              <w:rPr>
                <w:sz w:val="16"/>
                <w:szCs w:val="16"/>
              </w:rPr>
            </w:pPr>
            <w:r>
              <w:rPr>
                <w:sz w:val="16"/>
                <w:szCs w:val="16"/>
              </w:rPr>
              <w:t>All F2</w:t>
            </w:r>
          </w:p>
        </w:tc>
        <w:tc>
          <w:tcPr>
            <w:tcW w:w="2041" w:type="dxa"/>
            <w:shd w:val="clear" w:color="auto" w:fill="CCC0D9"/>
            <w:vAlign w:val="center"/>
          </w:tcPr>
          <w:p w:rsidR="00825DFF" w:rsidRDefault="00825DFF" w:rsidP="00E725EB">
            <w:pPr>
              <w:tabs>
                <w:tab w:val="left" w:pos="6249"/>
              </w:tabs>
              <w:jc w:val="center"/>
              <w:rPr>
                <w:sz w:val="18"/>
                <w:szCs w:val="18"/>
              </w:rPr>
            </w:pPr>
            <w:r>
              <w:rPr>
                <w:sz w:val="18"/>
                <w:szCs w:val="18"/>
              </w:rPr>
              <w:t>95%</w:t>
            </w:r>
          </w:p>
        </w:tc>
        <w:tc>
          <w:tcPr>
            <w:tcW w:w="2218" w:type="dxa"/>
            <w:shd w:val="clear" w:color="auto" w:fill="95B3D7" w:themeFill="accent1" w:themeFillTint="99"/>
            <w:vAlign w:val="center"/>
          </w:tcPr>
          <w:p w:rsidR="00825DFF" w:rsidRDefault="00F17ABA" w:rsidP="00E725EB">
            <w:pPr>
              <w:tabs>
                <w:tab w:val="left" w:pos="6249"/>
              </w:tabs>
              <w:jc w:val="center"/>
              <w:rPr>
                <w:sz w:val="18"/>
                <w:szCs w:val="18"/>
              </w:rPr>
            </w:pPr>
            <w:r>
              <w:rPr>
                <w:sz w:val="18"/>
                <w:szCs w:val="18"/>
              </w:rPr>
              <w:t>97%</w:t>
            </w:r>
          </w:p>
        </w:tc>
      </w:tr>
      <w:tr w:rsidR="00825DFF" w:rsidRPr="003A4232" w:rsidTr="009F4976">
        <w:trPr>
          <w:trHeight w:val="447"/>
        </w:trPr>
        <w:tc>
          <w:tcPr>
            <w:tcW w:w="1465" w:type="dxa"/>
            <w:vMerge w:val="restart"/>
            <w:vAlign w:val="center"/>
          </w:tcPr>
          <w:p w:rsidR="00825DFF" w:rsidRPr="00467E55" w:rsidRDefault="00825DFF" w:rsidP="00E725EB">
            <w:pPr>
              <w:tabs>
                <w:tab w:val="left" w:pos="6249"/>
              </w:tabs>
              <w:spacing w:after="0"/>
              <w:jc w:val="center"/>
            </w:pPr>
            <w:r>
              <w:t>Year 1</w:t>
            </w:r>
          </w:p>
        </w:tc>
        <w:tc>
          <w:tcPr>
            <w:tcW w:w="1160" w:type="dxa"/>
            <w:vMerge w:val="restart"/>
            <w:shd w:val="clear" w:color="auto" w:fill="auto"/>
            <w:vAlign w:val="center"/>
          </w:tcPr>
          <w:p w:rsidR="00825DFF" w:rsidRPr="00B330B6" w:rsidRDefault="00825DFF" w:rsidP="00E725EB">
            <w:pPr>
              <w:tabs>
                <w:tab w:val="left" w:pos="6249"/>
              </w:tabs>
              <w:spacing w:after="0"/>
              <w:rPr>
                <w:sz w:val="16"/>
                <w:szCs w:val="16"/>
              </w:rPr>
            </w:pPr>
            <w:r>
              <w:rPr>
                <w:sz w:val="16"/>
                <w:szCs w:val="16"/>
              </w:rPr>
              <w:t>Not Meeting A.R.E</w:t>
            </w:r>
          </w:p>
        </w:tc>
        <w:tc>
          <w:tcPr>
            <w:tcW w:w="1094" w:type="dxa"/>
            <w:shd w:val="clear" w:color="auto" w:fill="auto"/>
            <w:vAlign w:val="center"/>
          </w:tcPr>
          <w:p w:rsidR="00825DFF" w:rsidRPr="00B330B6" w:rsidRDefault="00825DFF" w:rsidP="00E725EB">
            <w:pPr>
              <w:tabs>
                <w:tab w:val="left" w:pos="6249"/>
              </w:tabs>
              <w:spacing w:after="0"/>
              <w:rPr>
                <w:sz w:val="16"/>
                <w:szCs w:val="16"/>
              </w:rPr>
            </w:pPr>
            <w:r>
              <w:rPr>
                <w:sz w:val="16"/>
                <w:szCs w:val="16"/>
              </w:rPr>
              <w:t>1CP</w:t>
            </w:r>
          </w:p>
        </w:tc>
        <w:tc>
          <w:tcPr>
            <w:tcW w:w="2041" w:type="dxa"/>
            <w:shd w:val="clear" w:color="auto" w:fill="E5DFEC" w:themeFill="accent4" w:themeFillTint="33"/>
          </w:tcPr>
          <w:p w:rsidR="00825DFF" w:rsidRDefault="00825DFF" w:rsidP="00E725EB">
            <w:pPr>
              <w:tabs>
                <w:tab w:val="left" w:pos="6249"/>
              </w:tabs>
              <w:jc w:val="center"/>
              <w:rPr>
                <w:sz w:val="18"/>
                <w:szCs w:val="18"/>
              </w:rPr>
            </w:pPr>
            <w:r>
              <w:rPr>
                <w:sz w:val="18"/>
                <w:szCs w:val="18"/>
              </w:rPr>
              <w:t>11%</w:t>
            </w:r>
          </w:p>
        </w:tc>
        <w:tc>
          <w:tcPr>
            <w:tcW w:w="2218" w:type="dxa"/>
            <w:shd w:val="clear" w:color="auto" w:fill="DBE5F1" w:themeFill="accent1" w:themeFillTint="33"/>
          </w:tcPr>
          <w:p w:rsidR="00825DFF" w:rsidRDefault="00E725EB" w:rsidP="00E725EB">
            <w:pPr>
              <w:tabs>
                <w:tab w:val="left" w:pos="6249"/>
              </w:tabs>
              <w:jc w:val="center"/>
              <w:rPr>
                <w:sz w:val="18"/>
                <w:szCs w:val="18"/>
              </w:rPr>
            </w:pPr>
            <w:r>
              <w:rPr>
                <w:sz w:val="18"/>
                <w:szCs w:val="18"/>
              </w:rPr>
              <w:t>7%</w:t>
            </w:r>
          </w:p>
        </w:tc>
      </w:tr>
      <w:tr w:rsidR="00825DFF" w:rsidRPr="003A4232" w:rsidTr="009F4976">
        <w:trPr>
          <w:trHeight w:val="447"/>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rPr>
                <w:sz w:val="16"/>
                <w:szCs w:val="16"/>
              </w:rPr>
            </w:pPr>
          </w:p>
        </w:tc>
        <w:tc>
          <w:tcPr>
            <w:tcW w:w="1094" w:type="dxa"/>
            <w:tcBorders>
              <w:bottom w:val="single" w:sz="4" w:space="0" w:color="auto"/>
            </w:tcBorders>
            <w:shd w:val="clear" w:color="auto" w:fill="auto"/>
            <w:vAlign w:val="center"/>
          </w:tcPr>
          <w:p w:rsidR="00825DFF" w:rsidRDefault="00825DFF" w:rsidP="00E725EB">
            <w:pPr>
              <w:tabs>
                <w:tab w:val="left" w:pos="6249"/>
              </w:tabs>
              <w:spacing w:after="0"/>
              <w:rPr>
                <w:sz w:val="16"/>
                <w:szCs w:val="16"/>
              </w:rPr>
            </w:pPr>
            <w:r>
              <w:rPr>
                <w:sz w:val="16"/>
                <w:szCs w:val="16"/>
              </w:rPr>
              <w:t>1SC</w:t>
            </w:r>
          </w:p>
        </w:tc>
        <w:tc>
          <w:tcPr>
            <w:tcW w:w="2041" w:type="dxa"/>
            <w:tcBorders>
              <w:bottom w:val="single" w:sz="4" w:space="0" w:color="auto"/>
            </w:tcBorders>
            <w:shd w:val="clear" w:color="auto" w:fill="E5DFEC" w:themeFill="accent4" w:themeFillTint="33"/>
          </w:tcPr>
          <w:p w:rsidR="00825DFF" w:rsidRDefault="00825DFF" w:rsidP="00E725EB">
            <w:pPr>
              <w:tabs>
                <w:tab w:val="left" w:pos="6249"/>
              </w:tabs>
              <w:jc w:val="center"/>
              <w:rPr>
                <w:sz w:val="18"/>
                <w:szCs w:val="18"/>
              </w:rPr>
            </w:pPr>
            <w:r>
              <w:rPr>
                <w:sz w:val="18"/>
                <w:szCs w:val="18"/>
              </w:rPr>
              <w:t>0%</w:t>
            </w:r>
          </w:p>
        </w:tc>
        <w:tc>
          <w:tcPr>
            <w:tcW w:w="2218" w:type="dxa"/>
            <w:tcBorders>
              <w:bottom w:val="single" w:sz="4" w:space="0" w:color="auto"/>
            </w:tcBorders>
            <w:shd w:val="clear" w:color="auto" w:fill="DBE5F1" w:themeFill="accent1" w:themeFillTint="33"/>
          </w:tcPr>
          <w:p w:rsidR="00825DFF" w:rsidRDefault="006D7611" w:rsidP="00E725EB">
            <w:pPr>
              <w:tabs>
                <w:tab w:val="left" w:pos="6249"/>
              </w:tabs>
              <w:jc w:val="center"/>
              <w:rPr>
                <w:sz w:val="18"/>
                <w:szCs w:val="18"/>
              </w:rPr>
            </w:pPr>
            <w:r>
              <w:rPr>
                <w:sz w:val="18"/>
                <w:szCs w:val="18"/>
              </w:rPr>
              <w:t>0%</w:t>
            </w:r>
          </w:p>
        </w:tc>
      </w:tr>
      <w:tr w:rsidR="00825DFF" w:rsidRPr="003A4232" w:rsidTr="009F4976">
        <w:trPr>
          <w:trHeight w:val="447"/>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rPr>
                <w:sz w:val="16"/>
                <w:szCs w:val="16"/>
              </w:rPr>
            </w:pPr>
          </w:p>
        </w:tc>
        <w:tc>
          <w:tcPr>
            <w:tcW w:w="1094" w:type="dxa"/>
            <w:shd w:val="clear" w:color="auto" w:fill="auto"/>
            <w:vAlign w:val="center"/>
          </w:tcPr>
          <w:p w:rsidR="00825DFF" w:rsidRDefault="00825DFF" w:rsidP="00E725EB">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2041" w:type="dxa"/>
            <w:shd w:val="clear" w:color="auto" w:fill="CCC0D9"/>
          </w:tcPr>
          <w:p w:rsidR="00825DFF" w:rsidRDefault="00825DFF" w:rsidP="00E725EB">
            <w:pPr>
              <w:tabs>
                <w:tab w:val="left" w:pos="6249"/>
              </w:tabs>
              <w:jc w:val="center"/>
              <w:rPr>
                <w:sz w:val="18"/>
                <w:szCs w:val="18"/>
              </w:rPr>
            </w:pPr>
            <w:r>
              <w:rPr>
                <w:sz w:val="18"/>
                <w:szCs w:val="18"/>
              </w:rPr>
              <w:t>5%</w:t>
            </w:r>
          </w:p>
        </w:tc>
        <w:tc>
          <w:tcPr>
            <w:tcW w:w="2218" w:type="dxa"/>
            <w:shd w:val="clear" w:color="auto" w:fill="95B3D7" w:themeFill="accent1" w:themeFillTint="99"/>
          </w:tcPr>
          <w:p w:rsidR="00825DFF" w:rsidRDefault="00E725EB" w:rsidP="00E725EB">
            <w:pPr>
              <w:tabs>
                <w:tab w:val="left" w:pos="6249"/>
              </w:tabs>
              <w:jc w:val="center"/>
              <w:rPr>
                <w:sz w:val="18"/>
                <w:szCs w:val="18"/>
              </w:rPr>
            </w:pPr>
            <w:r>
              <w:rPr>
                <w:sz w:val="18"/>
                <w:szCs w:val="18"/>
              </w:rPr>
              <w:t>3%</w:t>
            </w:r>
          </w:p>
        </w:tc>
      </w:tr>
      <w:tr w:rsidR="00825DFF" w:rsidRPr="003A4232" w:rsidTr="009F4976">
        <w:trPr>
          <w:trHeight w:val="364"/>
        </w:trPr>
        <w:tc>
          <w:tcPr>
            <w:tcW w:w="1465" w:type="dxa"/>
            <w:vMerge/>
            <w:vAlign w:val="center"/>
          </w:tcPr>
          <w:p w:rsidR="00825DFF" w:rsidRDefault="00825DFF" w:rsidP="00E725EB">
            <w:pPr>
              <w:tabs>
                <w:tab w:val="left" w:pos="6249"/>
              </w:tabs>
              <w:spacing w:after="0"/>
            </w:pPr>
          </w:p>
        </w:tc>
        <w:tc>
          <w:tcPr>
            <w:tcW w:w="1160" w:type="dxa"/>
            <w:vMerge w:val="restart"/>
            <w:shd w:val="clear" w:color="auto" w:fill="auto"/>
            <w:vAlign w:val="center"/>
          </w:tcPr>
          <w:p w:rsidR="00825DFF" w:rsidRPr="00B330B6" w:rsidRDefault="00825DFF" w:rsidP="00E725EB">
            <w:pPr>
              <w:tabs>
                <w:tab w:val="left" w:pos="6249"/>
              </w:tabs>
              <w:spacing w:after="0"/>
              <w:rPr>
                <w:sz w:val="16"/>
                <w:szCs w:val="16"/>
              </w:rPr>
            </w:pPr>
            <w:r>
              <w:rPr>
                <w:sz w:val="16"/>
                <w:szCs w:val="16"/>
              </w:rPr>
              <w:t>Meeting A.R.E</w:t>
            </w:r>
          </w:p>
        </w:tc>
        <w:tc>
          <w:tcPr>
            <w:tcW w:w="1094" w:type="dxa"/>
            <w:shd w:val="clear" w:color="auto" w:fill="auto"/>
            <w:vAlign w:val="center"/>
          </w:tcPr>
          <w:p w:rsidR="00825DFF" w:rsidRPr="00B330B6" w:rsidRDefault="00825DFF" w:rsidP="00E725EB">
            <w:pPr>
              <w:tabs>
                <w:tab w:val="left" w:pos="6249"/>
              </w:tabs>
              <w:spacing w:after="0"/>
              <w:rPr>
                <w:sz w:val="16"/>
                <w:szCs w:val="16"/>
              </w:rPr>
            </w:pPr>
            <w:r>
              <w:rPr>
                <w:sz w:val="16"/>
                <w:szCs w:val="16"/>
              </w:rPr>
              <w:t>1CP</w:t>
            </w:r>
          </w:p>
        </w:tc>
        <w:tc>
          <w:tcPr>
            <w:tcW w:w="2041" w:type="dxa"/>
            <w:shd w:val="clear" w:color="auto" w:fill="E5DFEC" w:themeFill="accent4" w:themeFillTint="33"/>
          </w:tcPr>
          <w:p w:rsidR="00825DFF" w:rsidRDefault="00825DFF" w:rsidP="00E725EB">
            <w:pPr>
              <w:tabs>
                <w:tab w:val="left" w:pos="6249"/>
              </w:tabs>
              <w:jc w:val="center"/>
              <w:rPr>
                <w:sz w:val="18"/>
                <w:szCs w:val="18"/>
              </w:rPr>
            </w:pPr>
            <w:r>
              <w:rPr>
                <w:sz w:val="18"/>
                <w:szCs w:val="18"/>
              </w:rPr>
              <w:t>89%</w:t>
            </w:r>
          </w:p>
        </w:tc>
        <w:tc>
          <w:tcPr>
            <w:tcW w:w="2218" w:type="dxa"/>
            <w:shd w:val="clear" w:color="auto" w:fill="DBE5F1" w:themeFill="accent1" w:themeFillTint="33"/>
          </w:tcPr>
          <w:p w:rsidR="00825DFF" w:rsidRDefault="00E725EB" w:rsidP="00E725EB">
            <w:pPr>
              <w:tabs>
                <w:tab w:val="left" w:pos="6249"/>
              </w:tabs>
              <w:jc w:val="center"/>
              <w:rPr>
                <w:sz w:val="18"/>
                <w:szCs w:val="18"/>
              </w:rPr>
            </w:pPr>
            <w:r>
              <w:rPr>
                <w:sz w:val="18"/>
                <w:szCs w:val="18"/>
              </w:rPr>
              <w:t>93%</w:t>
            </w:r>
          </w:p>
          <w:p w:rsidR="00E725EB" w:rsidRDefault="00E725EB" w:rsidP="00E725EB">
            <w:pPr>
              <w:tabs>
                <w:tab w:val="left" w:pos="6249"/>
              </w:tabs>
              <w:jc w:val="center"/>
              <w:rPr>
                <w:sz w:val="18"/>
                <w:szCs w:val="18"/>
              </w:rPr>
            </w:pPr>
            <w:r>
              <w:rPr>
                <w:sz w:val="18"/>
                <w:szCs w:val="18"/>
              </w:rPr>
              <w:t>(63% ARE 30 exceeding)</w:t>
            </w:r>
          </w:p>
        </w:tc>
      </w:tr>
      <w:tr w:rsidR="00825DFF" w:rsidRPr="003A4232" w:rsidTr="009F4976">
        <w:trPr>
          <w:trHeight w:val="400"/>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pPr>
          </w:p>
        </w:tc>
        <w:tc>
          <w:tcPr>
            <w:tcW w:w="1094" w:type="dxa"/>
            <w:tcBorders>
              <w:bottom w:val="single" w:sz="4" w:space="0" w:color="auto"/>
            </w:tcBorders>
            <w:shd w:val="clear" w:color="auto" w:fill="auto"/>
            <w:vAlign w:val="center"/>
          </w:tcPr>
          <w:p w:rsidR="00825DFF" w:rsidRDefault="00825DFF" w:rsidP="00E725EB">
            <w:pPr>
              <w:tabs>
                <w:tab w:val="left" w:pos="6249"/>
              </w:tabs>
              <w:spacing w:after="0"/>
              <w:rPr>
                <w:sz w:val="16"/>
                <w:szCs w:val="16"/>
              </w:rPr>
            </w:pPr>
            <w:r>
              <w:rPr>
                <w:sz w:val="16"/>
                <w:szCs w:val="16"/>
              </w:rPr>
              <w:t>1SC</w:t>
            </w:r>
          </w:p>
        </w:tc>
        <w:tc>
          <w:tcPr>
            <w:tcW w:w="2041" w:type="dxa"/>
            <w:tcBorders>
              <w:bottom w:val="single" w:sz="4" w:space="0" w:color="auto"/>
            </w:tcBorders>
            <w:shd w:val="clear" w:color="auto" w:fill="E5DFEC" w:themeFill="accent4" w:themeFillTint="33"/>
          </w:tcPr>
          <w:p w:rsidR="00825DFF" w:rsidRDefault="00825DFF" w:rsidP="00E725EB">
            <w:pPr>
              <w:tabs>
                <w:tab w:val="left" w:pos="6249"/>
              </w:tabs>
              <w:jc w:val="center"/>
              <w:rPr>
                <w:sz w:val="18"/>
                <w:szCs w:val="18"/>
              </w:rPr>
            </w:pPr>
            <w:r>
              <w:rPr>
                <w:sz w:val="18"/>
                <w:szCs w:val="18"/>
              </w:rPr>
              <w:t>100%</w:t>
            </w:r>
          </w:p>
        </w:tc>
        <w:tc>
          <w:tcPr>
            <w:tcW w:w="2218" w:type="dxa"/>
            <w:tcBorders>
              <w:bottom w:val="single" w:sz="4" w:space="0" w:color="auto"/>
            </w:tcBorders>
            <w:shd w:val="clear" w:color="auto" w:fill="DBE5F1" w:themeFill="accent1" w:themeFillTint="33"/>
          </w:tcPr>
          <w:p w:rsidR="00825DFF" w:rsidRDefault="00E725EB" w:rsidP="00E725EB">
            <w:pPr>
              <w:tabs>
                <w:tab w:val="left" w:pos="6249"/>
              </w:tabs>
              <w:jc w:val="center"/>
              <w:rPr>
                <w:sz w:val="18"/>
                <w:szCs w:val="18"/>
              </w:rPr>
            </w:pPr>
            <w:r>
              <w:rPr>
                <w:sz w:val="16"/>
                <w:szCs w:val="18"/>
              </w:rPr>
              <w:br/>
              <w:t>100%</w:t>
            </w:r>
            <w:r w:rsidR="006D7611">
              <w:rPr>
                <w:sz w:val="16"/>
                <w:szCs w:val="18"/>
              </w:rPr>
              <w:br/>
            </w:r>
            <w:r>
              <w:rPr>
                <w:sz w:val="16"/>
                <w:szCs w:val="18"/>
              </w:rPr>
              <w:t>(</w:t>
            </w:r>
            <w:r w:rsidR="006D7611" w:rsidRPr="006D7611">
              <w:rPr>
                <w:sz w:val="16"/>
                <w:szCs w:val="18"/>
              </w:rPr>
              <w:t>83%</w:t>
            </w:r>
            <w:r>
              <w:rPr>
                <w:sz w:val="16"/>
                <w:szCs w:val="18"/>
              </w:rPr>
              <w:t xml:space="preserve"> ARE </w:t>
            </w:r>
            <w:r w:rsidR="006D7611" w:rsidRPr="006D7611">
              <w:rPr>
                <w:sz w:val="16"/>
                <w:szCs w:val="18"/>
              </w:rPr>
              <w:t>17% exceeding)</w:t>
            </w:r>
          </w:p>
        </w:tc>
      </w:tr>
      <w:tr w:rsidR="00825DFF" w:rsidRPr="003A4232" w:rsidTr="009F4976">
        <w:trPr>
          <w:trHeight w:val="422"/>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pPr>
          </w:p>
        </w:tc>
        <w:tc>
          <w:tcPr>
            <w:tcW w:w="1094" w:type="dxa"/>
            <w:shd w:val="clear" w:color="auto" w:fill="auto"/>
            <w:vAlign w:val="center"/>
          </w:tcPr>
          <w:p w:rsidR="00825DFF" w:rsidRDefault="00825DFF" w:rsidP="00E725EB">
            <w:pPr>
              <w:tabs>
                <w:tab w:val="left" w:pos="6249"/>
              </w:tabs>
              <w:spacing w:after="0"/>
              <w:rPr>
                <w:sz w:val="16"/>
                <w:szCs w:val="16"/>
              </w:rPr>
            </w:pPr>
            <w:r>
              <w:rPr>
                <w:sz w:val="16"/>
                <w:szCs w:val="16"/>
              </w:rPr>
              <w:t xml:space="preserve">All </w:t>
            </w:r>
            <w:proofErr w:type="spellStart"/>
            <w:r>
              <w:rPr>
                <w:sz w:val="16"/>
                <w:szCs w:val="16"/>
              </w:rPr>
              <w:t>Yr</w:t>
            </w:r>
            <w:proofErr w:type="spellEnd"/>
            <w:r>
              <w:rPr>
                <w:sz w:val="16"/>
                <w:szCs w:val="16"/>
              </w:rPr>
              <w:t xml:space="preserve"> 1</w:t>
            </w:r>
          </w:p>
        </w:tc>
        <w:tc>
          <w:tcPr>
            <w:tcW w:w="2041" w:type="dxa"/>
            <w:shd w:val="clear" w:color="auto" w:fill="CCC0D9"/>
          </w:tcPr>
          <w:p w:rsidR="00825DFF" w:rsidRDefault="00825DFF" w:rsidP="00E725EB">
            <w:pPr>
              <w:tabs>
                <w:tab w:val="left" w:pos="1845"/>
                <w:tab w:val="left" w:pos="6249"/>
              </w:tabs>
              <w:jc w:val="center"/>
              <w:rPr>
                <w:sz w:val="18"/>
                <w:szCs w:val="18"/>
              </w:rPr>
            </w:pPr>
            <w:r>
              <w:rPr>
                <w:sz w:val="18"/>
                <w:szCs w:val="18"/>
              </w:rPr>
              <w:t>95%</w:t>
            </w:r>
          </w:p>
        </w:tc>
        <w:tc>
          <w:tcPr>
            <w:tcW w:w="2218" w:type="dxa"/>
            <w:shd w:val="clear" w:color="auto" w:fill="95B3D7" w:themeFill="accent1" w:themeFillTint="99"/>
          </w:tcPr>
          <w:p w:rsidR="00825DFF" w:rsidRDefault="00E725EB" w:rsidP="00E725EB">
            <w:pPr>
              <w:tabs>
                <w:tab w:val="left" w:pos="1845"/>
                <w:tab w:val="left" w:pos="6249"/>
              </w:tabs>
              <w:jc w:val="center"/>
              <w:rPr>
                <w:sz w:val="18"/>
                <w:szCs w:val="18"/>
              </w:rPr>
            </w:pPr>
            <w:r>
              <w:rPr>
                <w:sz w:val="18"/>
                <w:szCs w:val="18"/>
              </w:rPr>
              <w:t>97%</w:t>
            </w:r>
          </w:p>
        </w:tc>
      </w:tr>
      <w:tr w:rsidR="00825DFF" w:rsidRPr="003A4232" w:rsidTr="009F4976">
        <w:trPr>
          <w:trHeight w:val="447"/>
        </w:trPr>
        <w:tc>
          <w:tcPr>
            <w:tcW w:w="1465" w:type="dxa"/>
            <w:vMerge w:val="restart"/>
            <w:vAlign w:val="center"/>
          </w:tcPr>
          <w:p w:rsidR="00825DFF" w:rsidRPr="00467E55" w:rsidRDefault="00825DFF" w:rsidP="00E725EB">
            <w:pPr>
              <w:tabs>
                <w:tab w:val="left" w:pos="6249"/>
              </w:tabs>
              <w:spacing w:after="0"/>
              <w:jc w:val="center"/>
            </w:pPr>
            <w:r>
              <w:t>Year 2</w:t>
            </w:r>
          </w:p>
        </w:tc>
        <w:tc>
          <w:tcPr>
            <w:tcW w:w="1160" w:type="dxa"/>
            <w:vMerge w:val="restart"/>
            <w:shd w:val="clear" w:color="auto" w:fill="auto"/>
            <w:vAlign w:val="center"/>
          </w:tcPr>
          <w:p w:rsidR="00825DFF" w:rsidRPr="00B330B6" w:rsidRDefault="00825DFF" w:rsidP="00E725EB">
            <w:pPr>
              <w:tabs>
                <w:tab w:val="left" w:pos="6249"/>
              </w:tabs>
              <w:spacing w:after="0"/>
              <w:rPr>
                <w:sz w:val="16"/>
                <w:szCs w:val="16"/>
              </w:rPr>
            </w:pPr>
            <w:r>
              <w:rPr>
                <w:sz w:val="16"/>
                <w:szCs w:val="16"/>
              </w:rPr>
              <w:t>Not Meeting A.R.E</w:t>
            </w:r>
          </w:p>
        </w:tc>
        <w:tc>
          <w:tcPr>
            <w:tcW w:w="1094" w:type="dxa"/>
            <w:shd w:val="clear" w:color="auto" w:fill="auto"/>
            <w:vAlign w:val="center"/>
          </w:tcPr>
          <w:p w:rsidR="00825DFF" w:rsidRPr="003A4232" w:rsidRDefault="00825DFF" w:rsidP="00E725EB">
            <w:pPr>
              <w:tabs>
                <w:tab w:val="left" w:pos="6249"/>
              </w:tabs>
              <w:jc w:val="center"/>
              <w:rPr>
                <w:sz w:val="18"/>
                <w:szCs w:val="18"/>
              </w:rPr>
            </w:pPr>
            <w:r>
              <w:rPr>
                <w:sz w:val="16"/>
                <w:szCs w:val="16"/>
              </w:rPr>
              <w:t>2JB</w:t>
            </w:r>
          </w:p>
        </w:tc>
        <w:tc>
          <w:tcPr>
            <w:tcW w:w="2041" w:type="dxa"/>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10%</w:t>
            </w:r>
          </w:p>
        </w:tc>
        <w:tc>
          <w:tcPr>
            <w:tcW w:w="2218" w:type="dxa"/>
            <w:shd w:val="clear" w:color="auto" w:fill="DBE5F1" w:themeFill="accent1" w:themeFillTint="33"/>
            <w:vAlign w:val="center"/>
          </w:tcPr>
          <w:p w:rsidR="00825DFF" w:rsidRDefault="00545902" w:rsidP="00E725EB">
            <w:pPr>
              <w:tabs>
                <w:tab w:val="left" w:pos="6249"/>
              </w:tabs>
              <w:jc w:val="center"/>
              <w:rPr>
                <w:sz w:val="18"/>
                <w:szCs w:val="18"/>
              </w:rPr>
            </w:pPr>
            <w:r>
              <w:rPr>
                <w:sz w:val="18"/>
                <w:szCs w:val="18"/>
              </w:rPr>
              <w:t>0%</w:t>
            </w:r>
          </w:p>
        </w:tc>
      </w:tr>
      <w:tr w:rsidR="00825DFF" w:rsidRPr="003A4232" w:rsidTr="009F4976">
        <w:trPr>
          <w:trHeight w:val="447"/>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rPr>
                <w:sz w:val="16"/>
                <w:szCs w:val="16"/>
              </w:rPr>
            </w:pPr>
          </w:p>
        </w:tc>
        <w:tc>
          <w:tcPr>
            <w:tcW w:w="1094" w:type="dxa"/>
            <w:tcBorders>
              <w:bottom w:val="single" w:sz="4" w:space="0" w:color="auto"/>
            </w:tcBorders>
            <w:shd w:val="clear" w:color="auto" w:fill="auto"/>
            <w:vAlign w:val="center"/>
          </w:tcPr>
          <w:p w:rsidR="00825DFF" w:rsidRPr="003A4232" w:rsidRDefault="00825DFF" w:rsidP="00E725EB">
            <w:pPr>
              <w:tabs>
                <w:tab w:val="left" w:pos="6249"/>
              </w:tabs>
              <w:jc w:val="center"/>
              <w:rPr>
                <w:sz w:val="18"/>
                <w:szCs w:val="18"/>
              </w:rPr>
            </w:pPr>
            <w:r>
              <w:rPr>
                <w:sz w:val="16"/>
                <w:szCs w:val="16"/>
              </w:rPr>
              <w:t>2KF</w:t>
            </w:r>
          </w:p>
        </w:tc>
        <w:tc>
          <w:tcPr>
            <w:tcW w:w="2041" w:type="dxa"/>
            <w:tcBorders>
              <w:bottom w:val="single" w:sz="4" w:space="0" w:color="auto"/>
            </w:tcBorders>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7%</w:t>
            </w:r>
          </w:p>
        </w:tc>
        <w:tc>
          <w:tcPr>
            <w:tcW w:w="2218" w:type="dxa"/>
            <w:tcBorders>
              <w:bottom w:val="single" w:sz="4" w:space="0" w:color="auto"/>
            </w:tcBorders>
            <w:shd w:val="clear" w:color="auto" w:fill="DBE5F1" w:themeFill="accent1" w:themeFillTint="33"/>
            <w:vAlign w:val="center"/>
          </w:tcPr>
          <w:p w:rsidR="00825DFF" w:rsidRDefault="00545902" w:rsidP="00E725EB">
            <w:pPr>
              <w:tabs>
                <w:tab w:val="left" w:pos="6249"/>
              </w:tabs>
              <w:jc w:val="center"/>
              <w:rPr>
                <w:sz w:val="18"/>
                <w:szCs w:val="18"/>
              </w:rPr>
            </w:pPr>
            <w:r>
              <w:rPr>
                <w:sz w:val="18"/>
                <w:szCs w:val="18"/>
              </w:rPr>
              <w:t>0%</w:t>
            </w:r>
          </w:p>
        </w:tc>
      </w:tr>
      <w:tr w:rsidR="00825DFF" w:rsidRPr="003A4232" w:rsidTr="009F4976">
        <w:trPr>
          <w:trHeight w:val="447"/>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rPr>
                <w:sz w:val="16"/>
                <w:szCs w:val="16"/>
              </w:rPr>
            </w:pPr>
          </w:p>
        </w:tc>
        <w:tc>
          <w:tcPr>
            <w:tcW w:w="1094" w:type="dxa"/>
            <w:shd w:val="clear" w:color="auto" w:fill="auto"/>
            <w:vAlign w:val="center"/>
          </w:tcPr>
          <w:p w:rsidR="00825DFF" w:rsidRPr="003A4232" w:rsidRDefault="00825DFF" w:rsidP="00E725EB">
            <w:pPr>
              <w:tabs>
                <w:tab w:val="left" w:pos="6249"/>
              </w:tabs>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2041" w:type="dxa"/>
            <w:shd w:val="clear" w:color="auto" w:fill="CCC0D9"/>
            <w:vAlign w:val="center"/>
          </w:tcPr>
          <w:p w:rsidR="00825DFF" w:rsidRDefault="00825DFF" w:rsidP="00E725EB">
            <w:pPr>
              <w:tabs>
                <w:tab w:val="left" w:pos="6249"/>
              </w:tabs>
              <w:jc w:val="center"/>
              <w:rPr>
                <w:sz w:val="18"/>
                <w:szCs w:val="18"/>
              </w:rPr>
            </w:pPr>
            <w:r>
              <w:rPr>
                <w:sz w:val="18"/>
                <w:szCs w:val="18"/>
              </w:rPr>
              <w:t>9%</w:t>
            </w:r>
          </w:p>
        </w:tc>
        <w:tc>
          <w:tcPr>
            <w:tcW w:w="2218" w:type="dxa"/>
            <w:shd w:val="clear" w:color="auto" w:fill="95B3D7" w:themeFill="accent1" w:themeFillTint="99"/>
            <w:vAlign w:val="center"/>
          </w:tcPr>
          <w:p w:rsidR="00825DFF" w:rsidRDefault="00545902" w:rsidP="00E725EB">
            <w:pPr>
              <w:tabs>
                <w:tab w:val="left" w:pos="6249"/>
              </w:tabs>
              <w:jc w:val="center"/>
              <w:rPr>
                <w:sz w:val="18"/>
                <w:szCs w:val="18"/>
              </w:rPr>
            </w:pPr>
            <w:r>
              <w:rPr>
                <w:sz w:val="18"/>
                <w:szCs w:val="18"/>
              </w:rPr>
              <w:t>0%</w:t>
            </w:r>
          </w:p>
        </w:tc>
      </w:tr>
      <w:tr w:rsidR="00825DFF" w:rsidRPr="003A4232" w:rsidTr="009F4976">
        <w:trPr>
          <w:trHeight w:val="512"/>
        </w:trPr>
        <w:tc>
          <w:tcPr>
            <w:tcW w:w="1465" w:type="dxa"/>
            <w:vMerge/>
            <w:vAlign w:val="center"/>
          </w:tcPr>
          <w:p w:rsidR="00825DFF" w:rsidRDefault="00825DFF" w:rsidP="00E725EB">
            <w:pPr>
              <w:tabs>
                <w:tab w:val="left" w:pos="6249"/>
              </w:tabs>
              <w:spacing w:after="0"/>
            </w:pPr>
          </w:p>
        </w:tc>
        <w:tc>
          <w:tcPr>
            <w:tcW w:w="1160" w:type="dxa"/>
            <w:vMerge w:val="restart"/>
            <w:shd w:val="clear" w:color="auto" w:fill="auto"/>
            <w:vAlign w:val="center"/>
          </w:tcPr>
          <w:p w:rsidR="00825DFF" w:rsidRPr="00B330B6" w:rsidRDefault="00825DFF" w:rsidP="00E725EB">
            <w:pPr>
              <w:tabs>
                <w:tab w:val="left" w:pos="6249"/>
              </w:tabs>
              <w:spacing w:after="0"/>
              <w:rPr>
                <w:sz w:val="16"/>
                <w:szCs w:val="16"/>
              </w:rPr>
            </w:pPr>
            <w:r>
              <w:rPr>
                <w:sz w:val="16"/>
                <w:szCs w:val="16"/>
              </w:rPr>
              <w:t>Meeting A.R.E</w:t>
            </w:r>
          </w:p>
        </w:tc>
        <w:tc>
          <w:tcPr>
            <w:tcW w:w="1094" w:type="dxa"/>
            <w:shd w:val="clear" w:color="auto" w:fill="auto"/>
            <w:vAlign w:val="center"/>
          </w:tcPr>
          <w:p w:rsidR="00825DFF" w:rsidRPr="003A4232" w:rsidRDefault="00825DFF" w:rsidP="00E725EB">
            <w:pPr>
              <w:tabs>
                <w:tab w:val="left" w:pos="6249"/>
              </w:tabs>
              <w:spacing w:after="0"/>
              <w:jc w:val="center"/>
              <w:rPr>
                <w:sz w:val="18"/>
                <w:szCs w:val="18"/>
              </w:rPr>
            </w:pPr>
            <w:r>
              <w:rPr>
                <w:sz w:val="16"/>
                <w:szCs w:val="16"/>
              </w:rPr>
              <w:t>2JB</w:t>
            </w:r>
          </w:p>
        </w:tc>
        <w:tc>
          <w:tcPr>
            <w:tcW w:w="2041" w:type="dxa"/>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90%</w:t>
            </w:r>
          </w:p>
        </w:tc>
        <w:tc>
          <w:tcPr>
            <w:tcW w:w="2218" w:type="dxa"/>
            <w:shd w:val="clear" w:color="auto" w:fill="DBE5F1" w:themeFill="accent1" w:themeFillTint="33"/>
            <w:vAlign w:val="center"/>
          </w:tcPr>
          <w:p w:rsidR="00545902" w:rsidRDefault="00545902" w:rsidP="00545902">
            <w:pPr>
              <w:tabs>
                <w:tab w:val="left" w:pos="6249"/>
              </w:tabs>
              <w:jc w:val="center"/>
              <w:rPr>
                <w:sz w:val="18"/>
                <w:szCs w:val="18"/>
              </w:rPr>
            </w:pPr>
            <w:r>
              <w:rPr>
                <w:sz w:val="18"/>
                <w:szCs w:val="18"/>
              </w:rPr>
              <w:t>100%</w:t>
            </w:r>
            <w:r>
              <w:rPr>
                <w:sz w:val="18"/>
                <w:szCs w:val="18"/>
              </w:rPr>
              <w:br/>
              <w:t>(77% ARE 23% EXC)</w:t>
            </w:r>
          </w:p>
        </w:tc>
      </w:tr>
      <w:tr w:rsidR="00825DFF" w:rsidRPr="003A4232" w:rsidTr="009F4976">
        <w:trPr>
          <w:trHeight w:val="507"/>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pPr>
          </w:p>
        </w:tc>
        <w:tc>
          <w:tcPr>
            <w:tcW w:w="1094" w:type="dxa"/>
            <w:tcBorders>
              <w:bottom w:val="single" w:sz="4" w:space="0" w:color="auto"/>
            </w:tcBorders>
            <w:shd w:val="clear" w:color="auto" w:fill="auto"/>
            <w:vAlign w:val="center"/>
          </w:tcPr>
          <w:p w:rsidR="00825DFF" w:rsidRPr="003A4232" w:rsidRDefault="00825DFF" w:rsidP="00E725EB">
            <w:pPr>
              <w:tabs>
                <w:tab w:val="left" w:pos="6249"/>
              </w:tabs>
              <w:jc w:val="center"/>
              <w:rPr>
                <w:sz w:val="18"/>
                <w:szCs w:val="18"/>
              </w:rPr>
            </w:pPr>
            <w:r>
              <w:rPr>
                <w:sz w:val="16"/>
                <w:szCs w:val="16"/>
              </w:rPr>
              <w:t>2KF</w:t>
            </w:r>
          </w:p>
        </w:tc>
        <w:tc>
          <w:tcPr>
            <w:tcW w:w="2041" w:type="dxa"/>
            <w:tcBorders>
              <w:bottom w:val="single" w:sz="4" w:space="0" w:color="auto"/>
            </w:tcBorders>
            <w:shd w:val="clear" w:color="auto" w:fill="E5DFEC" w:themeFill="accent4" w:themeFillTint="33"/>
            <w:vAlign w:val="center"/>
          </w:tcPr>
          <w:p w:rsidR="00825DFF" w:rsidRDefault="00825DFF" w:rsidP="00E725EB">
            <w:pPr>
              <w:tabs>
                <w:tab w:val="left" w:pos="6249"/>
              </w:tabs>
              <w:jc w:val="center"/>
              <w:rPr>
                <w:sz w:val="18"/>
                <w:szCs w:val="18"/>
              </w:rPr>
            </w:pPr>
            <w:r>
              <w:rPr>
                <w:sz w:val="18"/>
                <w:szCs w:val="18"/>
              </w:rPr>
              <w:t>93%</w:t>
            </w:r>
          </w:p>
        </w:tc>
        <w:tc>
          <w:tcPr>
            <w:tcW w:w="2218" w:type="dxa"/>
            <w:tcBorders>
              <w:bottom w:val="single" w:sz="4" w:space="0" w:color="auto"/>
            </w:tcBorders>
            <w:shd w:val="clear" w:color="auto" w:fill="DBE5F1" w:themeFill="accent1" w:themeFillTint="33"/>
            <w:vAlign w:val="center"/>
          </w:tcPr>
          <w:p w:rsidR="00825DFF" w:rsidRDefault="009F4976" w:rsidP="00E725EB">
            <w:pPr>
              <w:tabs>
                <w:tab w:val="left" w:pos="6249"/>
              </w:tabs>
              <w:jc w:val="center"/>
              <w:rPr>
                <w:sz w:val="18"/>
                <w:szCs w:val="18"/>
              </w:rPr>
            </w:pPr>
            <w:r>
              <w:rPr>
                <w:sz w:val="18"/>
                <w:szCs w:val="18"/>
              </w:rPr>
              <w:t>100%</w:t>
            </w:r>
            <w:r>
              <w:rPr>
                <w:sz w:val="18"/>
                <w:szCs w:val="18"/>
              </w:rPr>
              <w:br/>
              <w:t>(90% ARE 10% EXC)</w:t>
            </w:r>
          </w:p>
        </w:tc>
      </w:tr>
      <w:tr w:rsidR="00825DFF" w:rsidRPr="003A4232" w:rsidTr="009F4976">
        <w:trPr>
          <w:trHeight w:val="490"/>
        </w:trPr>
        <w:tc>
          <w:tcPr>
            <w:tcW w:w="1465" w:type="dxa"/>
            <w:vMerge/>
            <w:vAlign w:val="center"/>
          </w:tcPr>
          <w:p w:rsidR="00825DFF" w:rsidRDefault="00825DFF" w:rsidP="00E725EB">
            <w:pPr>
              <w:tabs>
                <w:tab w:val="left" w:pos="6249"/>
              </w:tabs>
              <w:spacing w:after="0"/>
            </w:pPr>
          </w:p>
        </w:tc>
        <w:tc>
          <w:tcPr>
            <w:tcW w:w="1160" w:type="dxa"/>
            <w:vMerge/>
            <w:shd w:val="clear" w:color="auto" w:fill="auto"/>
            <w:vAlign w:val="center"/>
          </w:tcPr>
          <w:p w:rsidR="00825DFF" w:rsidRDefault="00825DFF" w:rsidP="00E725EB">
            <w:pPr>
              <w:tabs>
                <w:tab w:val="left" w:pos="6249"/>
              </w:tabs>
              <w:spacing w:after="0"/>
            </w:pPr>
          </w:p>
        </w:tc>
        <w:tc>
          <w:tcPr>
            <w:tcW w:w="1094" w:type="dxa"/>
            <w:shd w:val="clear" w:color="auto" w:fill="auto"/>
            <w:vAlign w:val="center"/>
          </w:tcPr>
          <w:p w:rsidR="00825DFF" w:rsidRPr="003A4232" w:rsidRDefault="00825DFF" w:rsidP="00E725EB">
            <w:pPr>
              <w:tabs>
                <w:tab w:val="left" w:pos="6249"/>
              </w:tabs>
              <w:jc w:val="center"/>
              <w:rPr>
                <w:sz w:val="18"/>
                <w:szCs w:val="18"/>
              </w:rPr>
            </w:pPr>
            <w:r>
              <w:rPr>
                <w:sz w:val="16"/>
                <w:szCs w:val="16"/>
              </w:rPr>
              <w:t xml:space="preserve">All </w:t>
            </w:r>
            <w:proofErr w:type="spellStart"/>
            <w:r>
              <w:rPr>
                <w:sz w:val="16"/>
                <w:szCs w:val="16"/>
              </w:rPr>
              <w:t>Yr</w:t>
            </w:r>
            <w:proofErr w:type="spellEnd"/>
            <w:r>
              <w:rPr>
                <w:sz w:val="16"/>
                <w:szCs w:val="16"/>
              </w:rPr>
              <w:t xml:space="preserve"> 2</w:t>
            </w:r>
          </w:p>
        </w:tc>
        <w:tc>
          <w:tcPr>
            <w:tcW w:w="2041" w:type="dxa"/>
            <w:shd w:val="clear" w:color="auto" w:fill="CCC0D9"/>
            <w:vAlign w:val="center"/>
          </w:tcPr>
          <w:p w:rsidR="00825DFF" w:rsidRDefault="00825DFF" w:rsidP="00E725EB">
            <w:pPr>
              <w:tabs>
                <w:tab w:val="left" w:pos="6249"/>
              </w:tabs>
              <w:jc w:val="center"/>
              <w:rPr>
                <w:sz w:val="18"/>
                <w:szCs w:val="18"/>
              </w:rPr>
            </w:pPr>
            <w:r>
              <w:rPr>
                <w:sz w:val="18"/>
                <w:szCs w:val="18"/>
              </w:rPr>
              <w:t>91%</w:t>
            </w:r>
          </w:p>
        </w:tc>
        <w:tc>
          <w:tcPr>
            <w:tcW w:w="2218" w:type="dxa"/>
            <w:shd w:val="clear" w:color="auto" w:fill="95B3D7" w:themeFill="accent1" w:themeFillTint="99"/>
            <w:vAlign w:val="center"/>
          </w:tcPr>
          <w:p w:rsidR="00825DFF" w:rsidRDefault="006B3201" w:rsidP="00E725EB">
            <w:pPr>
              <w:tabs>
                <w:tab w:val="left" w:pos="6249"/>
              </w:tabs>
              <w:jc w:val="center"/>
              <w:rPr>
                <w:sz w:val="18"/>
                <w:szCs w:val="18"/>
              </w:rPr>
            </w:pPr>
            <w:r>
              <w:rPr>
                <w:sz w:val="18"/>
                <w:szCs w:val="18"/>
              </w:rPr>
              <w:t>100%</w:t>
            </w:r>
          </w:p>
        </w:tc>
      </w:tr>
    </w:tbl>
    <w:p w:rsidR="00E725EB" w:rsidRDefault="00E725EB" w:rsidP="00A125DA">
      <w:pPr>
        <w:tabs>
          <w:tab w:val="left" w:pos="8098"/>
        </w:tabs>
        <w:rPr>
          <w:b/>
        </w:rPr>
      </w:pPr>
    </w:p>
    <w:p w:rsidR="00A125DA" w:rsidRDefault="00A125DA" w:rsidP="00A125DA">
      <w:pPr>
        <w:tabs>
          <w:tab w:val="left" w:pos="8098"/>
        </w:tabs>
        <w:rPr>
          <w:b/>
        </w:rPr>
      </w:pPr>
      <w:r w:rsidRPr="00A125DA">
        <w:rPr>
          <w:b/>
        </w:rPr>
        <w:t xml:space="preserve">Pre-School PE </w:t>
      </w:r>
      <w:proofErr w:type="spellStart"/>
      <w:r w:rsidRPr="00A125DA">
        <w:rPr>
          <w:b/>
        </w:rPr>
        <w:t>Curriulum</w:t>
      </w:r>
      <w:proofErr w:type="spellEnd"/>
      <w:r w:rsidRPr="00A125DA">
        <w:rPr>
          <w:b/>
        </w:rPr>
        <w:t xml:space="preserve"> Results – New as of 18-19:</w:t>
      </w:r>
    </w:p>
    <w:tbl>
      <w:tblPr>
        <w:tblStyle w:val="TableGrid"/>
        <w:tblW w:w="9703" w:type="dxa"/>
        <w:tblLook w:val="04A0" w:firstRow="1" w:lastRow="0" w:firstColumn="1" w:lastColumn="0" w:noHBand="0" w:noVBand="1"/>
      </w:tblPr>
      <w:tblGrid>
        <w:gridCol w:w="2707"/>
        <w:gridCol w:w="3462"/>
        <w:gridCol w:w="3534"/>
      </w:tblGrid>
      <w:tr w:rsidR="00A125DA" w:rsidTr="00C610C3">
        <w:trPr>
          <w:trHeight w:val="472"/>
        </w:trPr>
        <w:tc>
          <w:tcPr>
            <w:tcW w:w="2707" w:type="dxa"/>
            <w:shd w:val="clear" w:color="auto" w:fill="FFFFFF" w:themeFill="background1"/>
          </w:tcPr>
          <w:p w:rsidR="00A125DA" w:rsidRDefault="00A125DA" w:rsidP="00A125DA">
            <w:pPr>
              <w:tabs>
                <w:tab w:val="left" w:pos="8098"/>
              </w:tabs>
              <w:jc w:val="center"/>
              <w:rPr>
                <w:b/>
              </w:rPr>
            </w:pPr>
          </w:p>
        </w:tc>
        <w:tc>
          <w:tcPr>
            <w:tcW w:w="3462" w:type="dxa"/>
            <w:shd w:val="clear" w:color="auto" w:fill="B8CCE4" w:themeFill="accent1" w:themeFillTint="66"/>
          </w:tcPr>
          <w:p w:rsidR="00A125DA" w:rsidRDefault="00A125DA" w:rsidP="00A125DA">
            <w:pPr>
              <w:tabs>
                <w:tab w:val="left" w:pos="8098"/>
              </w:tabs>
              <w:jc w:val="center"/>
              <w:rPr>
                <w:b/>
              </w:rPr>
            </w:pPr>
            <w:r>
              <w:rPr>
                <w:b/>
              </w:rPr>
              <w:t>Not Meeting A.R.E</w:t>
            </w:r>
          </w:p>
        </w:tc>
        <w:tc>
          <w:tcPr>
            <w:tcW w:w="3534" w:type="dxa"/>
            <w:shd w:val="clear" w:color="auto" w:fill="B8CCE4" w:themeFill="accent1" w:themeFillTint="66"/>
          </w:tcPr>
          <w:p w:rsidR="00A125DA" w:rsidRDefault="00A125DA" w:rsidP="00A125DA">
            <w:pPr>
              <w:tabs>
                <w:tab w:val="left" w:pos="8098"/>
              </w:tabs>
              <w:jc w:val="center"/>
              <w:rPr>
                <w:b/>
              </w:rPr>
            </w:pPr>
            <w:r>
              <w:rPr>
                <w:b/>
              </w:rPr>
              <w:t>Meeting A.R.E</w:t>
            </w:r>
          </w:p>
        </w:tc>
      </w:tr>
      <w:tr w:rsidR="00A125DA" w:rsidTr="00C610C3">
        <w:trPr>
          <w:trHeight w:val="501"/>
        </w:trPr>
        <w:tc>
          <w:tcPr>
            <w:tcW w:w="2707" w:type="dxa"/>
            <w:shd w:val="clear" w:color="auto" w:fill="B8CCE4" w:themeFill="accent1" w:themeFillTint="66"/>
          </w:tcPr>
          <w:p w:rsidR="006961D2" w:rsidRDefault="00C610C3" w:rsidP="00C610C3">
            <w:pPr>
              <w:tabs>
                <w:tab w:val="left" w:pos="8098"/>
              </w:tabs>
              <w:jc w:val="center"/>
              <w:rPr>
                <w:b/>
              </w:rPr>
            </w:pPr>
            <w:r>
              <w:rPr>
                <w:b/>
              </w:rPr>
              <w:br/>
            </w:r>
            <w:r w:rsidR="006961D2">
              <w:rPr>
                <w:b/>
              </w:rPr>
              <w:t>Gymnastics</w:t>
            </w:r>
          </w:p>
          <w:p w:rsidR="00C610C3" w:rsidRPr="00C610C3" w:rsidRDefault="00C610C3" w:rsidP="00C610C3">
            <w:pPr>
              <w:tabs>
                <w:tab w:val="left" w:pos="8098"/>
              </w:tabs>
              <w:jc w:val="center"/>
            </w:pPr>
            <w:r w:rsidRPr="00C610C3">
              <w:t xml:space="preserve">Spring </w:t>
            </w:r>
            <w:r>
              <w:br/>
            </w:r>
          </w:p>
        </w:tc>
        <w:tc>
          <w:tcPr>
            <w:tcW w:w="3462" w:type="dxa"/>
          </w:tcPr>
          <w:p w:rsidR="00A125DA" w:rsidRPr="00AB3B33" w:rsidRDefault="00C610C3" w:rsidP="00A125DA">
            <w:pPr>
              <w:tabs>
                <w:tab w:val="left" w:pos="8098"/>
              </w:tabs>
              <w:jc w:val="center"/>
            </w:pPr>
            <w:r>
              <w:br/>
            </w:r>
            <w:r>
              <w:br/>
              <w:t>6%</w:t>
            </w:r>
          </w:p>
        </w:tc>
        <w:tc>
          <w:tcPr>
            <w:tcW w:w="3534" w:type="dxa"/>
          </w:tcPr>
          <w:p w:rsidR="00C610C3" w:rsidRDefault="00C610C3" w:rsidP="00A125DA">
            <w:pPr>
              <w:tabs>
                <w:tab w:val="left" w:pos="8098"/>
              </w:tabs>
              <w:jc w:val="center"/>
            </w:pPr>
            <w:r>
              <w:br/>
            </w:r>
          </w:p>
          <w:p w:rsidR="00A125DA" w:rsidRPr="00AB3B33" w:rsidRDefault="00C610C3" w:rsidP="00A125DA">
            <w:pPr>
              <w:tabs>
                <w:tab w:val="left" w:pos="8098"/>
              </w:tabs>
              <w:jc w:val="center"/>
            </w:pPr>
            <w:r>
              <w:t>94%</w:t>
            </w:r>
          </w:p>
        </w:tc>
      </w:tr>
      <w:tr w:rsidR="006961D2" w:rsidTr="00C610C3">
        <w:trPr>
          <w:trHeight w:val="506"/>
        </w:trPr>
        <w:tc>
          <w:tcPr>
            <w:tcW w:w="2707" w:type="dxa"/>
            <w:shd w:val="clear" w:color="auto" w:fill="B8CCE4" w:themeFill="accent1" w:themeFillTint="66"/>
          </w:tcPr>
          <w:p w:rsidR="006961D2" w:rsidRDefault="00C610C3" w:rsidP="00A125DA">
            <w:pPr>
              <w:tabs>
                <w:tab w:val="left" w:pos="8098"/>
              </w:tabs>
              <w:jc w:val="center"/>
            </w:pPr>
            <w:r>
              <w:rPr>
                <w:b/>
              </w:rPr>
              <w:br/>
            </w:r>
            <w:r w:rsidR="00AB3B33">
              <w:rPr>
                <w:b/>
              </w:rPr>
              <w:t>Games</w:t>
            </w:r>
            <w:r>
              <w:rPr>
                <w:b/>
              </w:rPr>
              <w:t>/</w:t>
            </w:r>
            <w:proofErr w:type="spellStart"/>
            <w:r>
              <w:rPr>
                <w:b/>
              </w:rPr>
              <w:t>Multiskills</w:t>
            </w:r>
            <w:proofErr w:type="spellEnd"/>
            <w:r>
              <w:rPr>
                <w:b/>
              </w:rPr>
              <w:br/>
            </w:r>
            <w:r w:rsidRPr="00C610C3">
              <w:t>Summer</w:t>
            </w:r>
          </w:p>
          <w:p w:rsidR="00C610C3" w:rsidRDefault="00C610C3" w:rsidP="00A125DA">
            <w:pPr>
              <w:tabs>
                <w:tab w:val="left" w:pos="8098"/>
              </w:tabs>
              <w:jc w:val="center"/>
              <w:rPr>
                <w:b/>
              </w:rPr>
            </w:pPr>
          </w:p>
        </w:tc>
        <w:tc>
          <w:tcPr>
            <w:tcW w:w="3462" w:type="dxa"/>
          </w:tcPr>
          <w:p w:rsidR="006961D2" w:rsidRPr="00AB3B33" w:rsidRDefault="00C610C3" w:rsidP="00A125DA">
            <w:pPr>
              <w:tabs>
                <w:tab w:val="left" w:pos="8098"/>
              </w:tabs>
              <w:jc w:val="center"/>
            </w:pPr>
            <w:r>
              <w:br/>
              <w:t>0%</w:t>
            </w:r>
          </w:p>
        </w:tc>
        <w:tc>
          <w:tcPr>
            <w:tcW w:w="3534" w:type="dxa"/>
          </w:tcPr>
          <w:p w:rsidR="006961D2" w:rsidRPr="00AB3B33" w:rsidRDefault="00C610C3" w:rsidP="00A125DA">
            <w:pPr>
              <w:tabs>
                <w:tab w:val="left" w:pos="8098"/>
              </w:tabs>
              <w:jc w:val="center"/>
            </w:pPr>
            <w:r>
              <w:br/>
              <w:t>100%</w:t>
            </w:r>
          </w:p>
        </w:tc>
      </w:tr>
    </w:tbl>
    <w:p w:rsidR="00A125DA" w:rsidRDefault="00A125DA" w:rsidP="00A125DA">
      <w:pPr>
        <w:tabs>
          <w:tab w:val="left" w:pos="8098"/>
        </w:tabs>
      </w:pPr>
    </w:p>
    <w:p w:rsidR="00825DFF" w:rsidRPr="000A73B6" w:rsidRDefault="00825DFF" w:rsidP="00825DFF">
      <w:pPr>
        <w:rPr>
          <w:b/>
        </w:rPr>
      </w:pPr>
      <w:r w:rsidRPr="000A73B6">
        <w:rPr>
          <w:b/>
        </w:rPr>
        <w:t>KS1 PE Curriculum Results</w:t>
      </w:r>
    </w:p>
    <w:tbl>
      <w:tblPr>
        <w:tblStyle w:val="TableGrid"/>
        <w:tblW w:w="9747" w:type="dxa"/>
        <w:tblLook w:val="04A0" w:firstRow="1" w:lastRow="0" w:firstColumn="1" w:lastColumn="0" w:noHBand="0" w:noVBand="1"/>
      </w:tblPr>
      <w:tblGrid>
        <w:gridCol w:w="2757"/>
        <w:gridCol w:w="1037"/>
        <w:gridCol w:w="1134"/>
        <w:gridCol w:w="1276"/>
        <w:gridCol w:w="1134"/>
        <w:gridCol w:w="1275"/>
        <w:gridCol w:w="1134"/>
      </w:tblGrid>
      <w:tr w:rsidR="006D7611" w:rsidTr="009F4976">
        <w:trPr>
          <w:trHeight w:val="502"/>
        </w:trPr>
        <w:tc>
          <w:tcPr>
            <w:tcW w:w="2757" w:type="dxa"/>
          </w:tcPr>
          <w:p w:rsidR="006D7611" w:rsidRDefault="006D7611" w:rsidP="00A125DA">
            <w:pPr>
              <w:jc w:val="center"/>
            </w:pPr>
          </w:p>
        </w:tc>
        <w:tc>
          <w:tcPr>
            <w:tcW w:w="2171" w:type="dxa"/>
            <w:gridSpan w:val="2"/>
          </w:tcPr>
          <w:p w:rsidR="006D7611" w:rsidRDefault="006D7611" w:rsidP="006D7611">
            <w:pPr>
              <w:jc w:val="center"/>
            </w:pPr>
            <w:r>
              <w:t>Dance</w:t>
            </w:r>
          </w:p>
        </w:tc>
        <w:tc>
          <w:tcPr>
            <w:tcW w:w="2410" w:type="dxa"/>
            <w:gridSpan w:val="2"/>
          </w:tcPr>
          <w:p w:rsidR="006D7611" w:rsidRDefault="006D7611" w:rsidP="00A125DA">
            <w:pPr>
              <w:jc w:val="center"/>
            </w:pPr>
            <w:r>
              <w:t>Gymnastics</w:t>
            </w:r>
          </w:p>
        </w:tc>
        <w:tc>
          <w:tcPr>
            <w:tcW w:w="2409" w:type="dxa"/>
            <w:gridSpan w:val="2"/>
          </w:tcPr>
          <w:p w:rsidR="006D7611" w:rsidRDefault="006D7611" w:rsidP="00A125DA">
            <w:pPr>
              <w:jc w:val="center"/>
            </w:pPr>
            <w:r>
              <w:t>Games</w:t>
            </w:r>
          </w:p>
        </w:tc>
      </w:tr>
      <w:tr w:rsidR="006D7611" w:rsidTr="006D7611">
        <w:trPr>
          <w:trHeight w:val="502"/>
        </w:trPr>
        <w:tc>
          <w:tcPr>
            <w:tcW w:w="2757" w:type="dxa"/>
          </w:tcPr>
          <w:p w:rsidR="006D7611" w:rsidRDefault="006D7611" w:rsidP="00A125DA">
            <w:pPr>
              <w:jc w:val="center"/>
            </w:pPr>
            <w:r>
              <w:t>1SC</w:t>
            </w:r>
          </w:p>
        </w:tc>
        <w:tc>
          <w:tcPr>
            <w:tcW w:w="1037" w:type="dxa"/>
            <w:shd w:val="clear" w:color="auto" w:fill="CCC0D9" w:themeFill="accent4" w:themeFillTint="66"/>
          </w:tcPr>
          <w:p w:rsidR="006D7611" w:rsidRDefault="006D7611" w:rsidP="00A125DA">
            <w:pPr>
              <w:jc w:val="center"/>
            </w:pPr>
            <w:r>
              <w:t>100%</w:t>
            </w:r>
          </w:p>
        </w:tc>
        <w:tc>
          <w:tcPr>
            <w:tcW w:w="1134" w:type="dxa"/>
            <w:shd w:val="clear" w:color="auto" w:fill="95B3D7" w:themeFill="accent1" w:themeFillTint="99"/>
          </w:tcPr>
          <w:p w:rsidR="006D7611" w:rsidRDefault="006D7611" w:rsidP="006D7611">
            <w:pPr>
              <w:jc w:val="center"/>
            </w:pPr>
            <w:r>
              <w:t>100%</w:t>
            </w:r>
          </w:p>
        </w:tc>
        <w:tc>
          <w:tcPr>
            <w:tcW w:w="1276" w:type="dxa"/>
            <w:shd w:val="clear" w:color="auto" w:fill="CCC0D9" w:themeFill="accent4" w:themeFillTint="66"/>
          </w:tcPr>
          <w:p w:rsidR="006D7611" w:rsidRDefault="006D7611" w:rsidP="00A125DA">
            <w:pPr>
              <w:jc w:val="center"/>
            </w:pPr>
            <w:r>
              <w:t>100%</w:t>
            </w:r>
          </w:p>
        </w:tc>
        <w:tc>
          <w:tcPr>
            <w:tcW w:w="1134" w:type="dxa"/>
            <w:shd w:val="clear" w:color="auto" w:fill="95B3D7" w:themeFill="accent1" w:themeFillTint="99"/>
          </w:tcPr>
          <w:p w:rsidR="006D7611" w:rsidRDefault="009364A8" w:rsidP="00825DFF">
            <w:pPr>
              <w:jc w:val="center"/>
            </w:pPr>
            <w:r>
              <w:t>100%</w:t>
            </w:r>
          </w:p>
        </w:tc>
        <w:tc>
          <w:tcPr>
            <w:tcW w:w="1275" w:type="dxa"/>
            <w:shd w:val="clear" w:color="auto" w:fill="CCC0D9" w:themeFill="accent4" w:themeFillTint="66"/>
          </w:tcPr>
          <w:p w:rsidR="006D7611" w:rsidRDefault="006D7611" w:rsidP="00A125DA">
            <w:pPr>
              <w:jc w:val="center"/>
            </w:pPr>
            <w:r>
              <w:t>100%</w:t>
            </w:r>
          </w:p>
        </w:tc>
        <w:tc>
          <w:tcPr>
            <w:tcW w:w="1134" w:type="dxa"/>
            <w:shd w:val="clear" w:color="auto" w:fill="95B3D7" w:themeFill="accent1" w:themeFillTint="99"/>
          </w:tcPr>
          <w:p w:rsidR="006D7611" w:rsidRDefault="009364A8" w:rsidP="00825DFF">
            <w:pPr>
              <w:jc w:val="center"/>
            </w:pPr>
            <w:r>
              <w:t>100%</w:t>
            </w:r>
          </w:p>
        </w:tc>
      </w:tr>
      <w:tr w:rsidR="006D7611" w:rsidTr="006D7611">
        <w:trPr>
          <w:trHeight w:val="502"/>
        </w:trPr>
        <w:tc>
          <w:tcPr>
            <w:tcW w:w="2757" w:type="dxa"/>
          </w:tcPr>
          <w:p w:rsidR="006D7611" w:rsidRDefault="006D7611" w:rsidP="00A125DA">
            <w:pPr>
              <w:jc w:val="center"/>
            </w:pPr>
            <w:r>
              <w:t>1CP</w:t>
            </w:r>
          </w:p>
        </w:tc>
        <w:tc>
          <w:tcPr>
            <w:tcW w:w="1037" w:type="dxa"/>
            <w:shd w:val="clear" w:color="auto" w:fill="CCC0D9" w:themeFill="accent4" w:themeFillTint="66"/>
          </w:tcPr>
          <w:p w:rsidR="006D7611" w:rsidRDefault="006D7611" w:rsidP="00A125DA">
            <w:pPr>
              <w:jc w:val="center"/>
            </w:pPr>
            <w:r>
              <w:t>89%</w:t>
            </w:r>
          </w:p>
        </w:tc>
        <w:tc>
          <w:tcPr>
            <w:tcW w:w="1134" w:type="dxa"/>
            <w:shd w:val="clear" w:color="auto" w:fill="95B3D7" w:themeFill="accent1" w:themeFillTint="99"/>
          </w:tcPr>
          <w:p w:rsidR="006D7611" w:rsidRDefault="006D7611" w:rsidP="006D7611">
            <w:pPr>
              <w:jc w:val="center"/>
            </w:pPr>
            <w:r>
              <w:t>100%</w:t>
            </w:r>
          </w:p>
        </w:tc>
        <w:tc>
          <w:tcPr>
            <w:tcW w:w="1276" w:type="dxa"/>
            <w:shd w:val="clear" w:color="auto" w:fill="CCC0D9" w:themeFill="accent4" w:themeFillTint="66"/>
          </w:tcPr>
          <w:p w:rsidR="006D7611" w:rsidRDefault="006D7611" w:rsidP="00A125DA">
            <w:pPr>
              <w:jc w:val="center"/>
            </w:pPr>
            <w:r>
              <w:t>89%</w:t>
            </w:r>
          </w:p>
        </w:tc>
        <w:tc>
          <w:tcPr>
            <w:tcW w:w="1134" w:type="dxa"/>
            <w:shd w:val="clear" w:color="auto" w:fill="95B3D7" w:themeFill="accent1" w:themeFillTint="99"/>
          </w:tcPr>
          <w:p w:rsidR="006D7611" w:rsidRDefault="009364A8" w:rsidP="00825DFF">
            <w:pPr>
              <w:jc w:val="center"/>
            </w:pPr>
            <w:r>
              <w:t>97%</w:t>
            </w:r>
          </w:p>
        </w:tc>
        <w:tc>
          <w:tcPr>
            <w:tcW w:w="1275" w:type="dxa"/>
            <w:shd w:val="clear" w:color="auto" w:fill="CCC0D9" w:themeFill="accent4" w:themeFillTint="66"/>
          </w:tcPr>
          <w:p w:rsidR="006D7611" w:rsidRDefault="006D7611" w:rsidP="00A125DA">
            <w:pPr>
              <w:jc w:val="center"/>
            </w:pPr>
            <w:r>
              <w:t>89%</w:t>
            </w:r>
          </w:p>
        </w:tc>
        <w:tc>
          <w:tcPr>
            <w:tcW w:w="1134" w:type="dxa"/>
            <w:shd w:val="clear" w:color="auto" w:fill="95B3D7" w:themeFill="accent1" w:themeFillTint="99"/>
          </w:tcPr>
          <w:p w:rsidR="006D7611" w:rsidRDefault="009364A8" w:rsidP="00825DFF">
            <w:pPr>
              <w:jc w:val="center"/>
            </w:pPr>
            <w:r>
              <w:t>93%</w:t>
            </w:r>
          </w:p>
        </w:tc>
      </w:tr>
      <w:tr w:rsidR="006D7611" w:rsidTr="006D7611">
        <w:trPr>
          <w:trHeight w:val="502"/>
        </w:trPr>
        <w:tc>
          <w:tcPr>
            <w:tcW w:w="2757" w:type="dxa"/>
          </w:tcPr>
          <w:p w:rsidR="006D7611" w:rsidRDefault="006D7611" w:rsidP="00A125DA">
            <w:pPr>
              <w:jc w:val="center"/>
            </w:pPr>
            <w:r>
              <w:t>2KF</w:t>
            </w:r>
          </w:p>
        </w:tc>
        <w:tc>
          <w:tcPr>
            <w:tcW w:w="1037" w:type="dxa"/>
            <w:shd w:val="clear" w:color="auto" w:fill="CCC0D9" w:themeFill="accent4" w:themeFillTint="66"/>
          </w:tcPr>
          <w:p w:rsidR="006D7611" w:rsidRDefault="006D7611" w:rsidP="00A125DA">
            <w:pPr>
              <w:jc w:val="center"/>
            </w:pPr>
            <w:r>
              <w:t>93%</w:t>
            </w:r>
          </w:p>
        </w:tc>
        <w:tc>
          <w:tcPr>
            <w:tcW w:w="1134" w:type="dxa"/>
            <w:shd w:val="clear" w:color="auto" w:fill="95B3D7" w:themeFill="accent1" w:themeFillTint="99"/>
          </w:tcPr>
          <w:p w:rsidR="006D7611" w:rsidRDefault="006D7611" w:rsidP="006D7611">
            <w:pPr>
              <w:jc w:val="center"/>
            </w:pPr>
            <w:r>
              <w:t>100%</w:t>
            </w:r>
          </w:p>
        </w:tc>
        <w:tc>
          <w:tcPr>
            <w:tcW w:w="1276" w:type="dxa"/>
            <w:shd w:val="clear" w:color="auto" w:fill="CCC0D9" w:themeFill="accent4" w:themeFillTint="66"/>
          </w:tcPr>
          <w:p w:rsidR="006D7611" w:rsidRDefault="006D7611" w:rsidP="00A125DA">
            <w:pPr>
              <w:jc w:val="center"/>
            </w:pPr>
            <w:r>
              <w:t>96%</w:t>
            </w:r>
          </w:p>
        </w:tc>
        <w:tc>
          <w:tcPr>
            <w:tcW w:w="1134" w:type="dxa"/>
            <w:shd w:val="clear" w:color="auto" w:fill="95B3D7" w:themeFill="accent1" w:themeFillTint="99"/>
          </w:tcPr>
          <w:p w:rsidR="006D7611" w:rsidRDefault="009364A8" w:rsidP="00825DFF">
            <w:pPr>
              <w:jc w:val="center"/>
            </w:pPr>
            <w:r>
              <w:t>97%</w:t>
            </w:r>
          </w:p>
        </w:tc>
        <w:tc>
          <w:tcPr>
            <w:tcW w:w="1275" w:type="dxa"/>
            <w:shd w:val="clear" w:color="auto" w:fill="CCC0D9" w:themeFill="accent4" w:themeFillTint="66"/>
          </w:tcPr>
          <w:p w:rsidR="006D7611" w:rsidRDefault="006D7611" w:rsidP="00A125DA">
            <w:pPr>
              <w:jc w:val="center"/>
            </w:pPr>
            <w:r>
              <w:t>96%</w:t>
            </w:r>
          </w:p>
        </w:tc>
        <w:tc>
          <w:tcPr>
            <w:tcW w:w="1134" w:type="dxa"/>
            <w:shd w:val="clear" w:color="auto" w:fill="95B3D7" w:themeFill="accent1" w:themeFillTint="99"/>
          </w:tcPr>
          <w:p w:rsidR="006D7611" w:rsidRDefault="00545902" w:rsidP="00825DFF">
            <w:pPr>
              <w:jc w:val="center"/>
            </w:pPr>
            <w:r>
              <w:t>100%</w:t>
            </w:r>
          </w:p>
        </w:tc>
      </w:tr>
      <w:tr w:rsidR="006D7611" w:rsidTr="006D7611">
        <w:trPr>
          <w:trHeight w:val="502"/>
        </w:trPr>
        <w:tc>
          <w:tcPr>
            <w:tcW w:w="2757" w:type="dxa"/>
          </w:tcPr>
          <w:p w:rsidR="006D7611" w:rsidRDefault="006D7611" w:rsidP="00A125DA">
            <w:pPr>
              <w:jc w:val="center"/>
            </w:pPr>
            <w:r>
              <w:t>2JB</w:t>
            </w:r>
          </w:p>
        </w:tc>
        <w:tc>
          <w:tcPr>
            <w:tcW w:w="1037" w:type="dxa"/>
            <w:shd w:val="clear" w:color="auto" w:fill="CCC0D9" w:themeFill="accent4" w:themeFillTint="66"/>
          </w:tcPr>
          <w:p w:rsidR="006D7611" w:rsidRDefault="006D7611" w:rsidP="00A125DA">
            <w:pPr>
              <w:jc w:val="center"/>
            </w:pPr>
            <w:r>
              <w:t>89%</w:t>
            </w:r>
          </w:p>
        </w:tc>
        <w:tc>
          <w:tcPr>
            <w:tcW w:w="1134" w:type="dxa"/>
            <w:shd w:val="clear" w:color="auto" w:fill="95B3D7" w:themeFill="accent1" w:themeFillTint="99"/>
          </w:tcPr>
          <w:p w:rsidR="006D7611" w:rsidRDefault="006D7611" w:rsidP="006D7611">
            <w:pPr>
              <w:jc w:val="center"/>
            </w:pPr>
            <w:r>
              <w:t>100%</w:t>
            </w:r>
          </w:p>
        </w:tc>
        <w:tc>
          <w:tcPr>
            <w:tcW w:w="1276" w:type="dxa"/>
            <w:shd w:val="clear" w:color="auto" w:fill="CCC0D9" w:themeFill="accent4" w:themeFillTint="66"/>
          </w:tcPr>
          <w:p w:rsidR="006D7611" w:rsidRDefault="006D7611" w:rsidP="00A125DA">
            <w:pPr>
              <w:jc w:val="center"/>
            </w:pPr>
            <w:r>
              <w:t>93%</w:t>
            </w:r>
          </w:p>
        </w:tc>
        <w:tc>
          <w:tcPr>
            <w:tcW w:w="1134" w:type="dxa"/>
            <w:shd w:val="clear" w:color="auto" w:fill="95B3D7" w:themeFill="accent1" w:themeFillTint="99"/>
          </w:tcPr>
          <w:p w:rsidR="006D7611" w:rsidRDefault="009364A8" w:rsidP="00825DFF">
            <w:pPr>
              <w:jc w:val="center"/>
            </w:pPr>
            <w:r>
              <w:t>97%</w:t>
            </w:r>
          </w:p>
        </w:tc>
        <w:tc>
          <w:tcPr>
            <w:tcW w:w="1275" w:type="dxa"/>
            <w:shd w:val="clear" w:color="auto" w:fill="CCC0D9" w:themeFill="accent4" w:themeFillTint="66"/>
          </w:tcPr>
          <w:p w:rsidR="006D7611" w:rsidRDefault="006D7611" w:rsidP="00A125DA">
            <w:pPr>
              <w:jc w:val="center"/>
            </w:pPr>
            <w:r>
              <w:t>96%</w:t>
            </w:r>
          </w:p>
        </w:tc>
        <w:tc>
          <w:tcPr>
            <w:tcW w:w="1134" w:type="dxa"/>
            <w:shd w:val="clear" w:color="auto" w:fill="95B3D7" w:themeFill="accent1" w:themeFillTint="99"/>
          </w:tcPr>
          <w:p w:rsidR="006D7611" w:rsidRDefault="00545902" w:rsidP="00825DFF">
            <w:pPr>
              <w:jc w:val="center"/>
            </w:pPr>
            <w:r>
              <w:t>100%</w:t>
            </w:r>
          </w:p>
        </w:tc>
      </w:tr>
    </w:tbl>
    <w:p w:rsidR="00825DFF" w:rsidRDefault="00825DFF" w:rsidP="00825DF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25DFF" w:rsidRPr="006A673F" w:rsidTr="00F17ABA">
        <w:tc>
          <w:tcPr>
            <w:tcW w:w="9747" w:type="dxa"/>
            <w:shd w:val="clear" w:color="auto" w:fill="auto"/>
          </w:tcPr>
          <w:p w:rsidR="00825DFF" w:rsidRPr="006A673F" w:rsidRDefault="00825DFF" w:rsidP="00A125DA">
            <w:pPr>
              <w:spacing w:after="0" w:line="240" w:lineRule="auto"/>
              <w:rPr>
                <w:sz w:val="22"/>
                <w:szCs w:val="22"/>
              </w:rPr>
            </w:pPr>
            <w:r w:rsidRPr="00E10B99">
              <w:rPr>
                <w:sz w:val="22"/>
                <w:szCs w:val="22"/>
                <w:u w:val="single"/>
              </w:rPr>
              <w:t>Outcomes to date:</w:t>
            </w:r>
            <w:r w:rsidRPr="006A673F">
              <w:rPr>
                <w:sz w:val="22"/>
                <w:szCs w:val="22"/>
              </w:rPr>
              <w:t xml:space="preserve"> </w:t>
            </w:r>
            <w:r w:rsidRPr="006A673F">
              <w:rPr>
                <w:sz w:val="22"/>
                <w:szCs w:val="22"/>
              </w:rPr>
              <w:br/>
            </w:r>
            <w:r w:rsidRPr="006A673F">
              <w:rPr>
                <w:sz w:val="22"/>
                <w:szCs w:val="22"/>
              </w:rPr>
              <w:br/>
            </w:r>
            <w:r w:rsidR="00A125DA">
              <w:rPr>
                <w:sz w:val="22"/>
                <w:szCs w:val="22"/>
                <w:shd w:val="clear" w:color="auto" w:fill="DBE5F1" w:themeFill="accent1" w:themeFillTint="33"/>
              </w:rPr>
              <w:t>2</w:t>
            </w:r>
            <w:r w:rsidRPr="00AD4AC9">
              <w:rPr>
                <w:sz w:val="22"/>
                <w:szCs w:val="22"/>
                <w:shd w:val="clear" w:color="auto" w:fill="DBE5F1" w:themeFill="accent1" w:themeFillTint="33"/>
              </w:rPr>
              <w:t>3%</w:t>
            </w:r>
            <w:r>
              <w:rPr>
                <w:sz w:val="22"/>
                <w:szCs w:val="22"/>
              </w:rPr>
              <w:t xml:space="preserve"> </w:t>
            </w:r>
            <w:r w:rsidRPr="006A673F">
              <w:rPr>
                <w:sz w:val="22"/>
                <w:szCs w:val="22"/>
              </w:rPr>
              <w:t>of all children in our school</w:t>
            </w:r>
            <w:r w:rsidR="00AD4AC9">
              <w:rPr>
                <w:sz w:val="22"/>
                <w:szCs w:val="22"/>
              </w:rPr>
              <w:t xml:space="preserve"> (F2 – Y2)</w:t>
            </w:r>
            <w:r w:rsidRPr="006A673F">
              <w:rPr>
                <w:sz w:val="22"/>
                <w:szCs w:val="22"/>
              </w:rPr>
              <w:t xml:space="preserve"> have </w:t>
            </w:r>
            <w:r>
              <w:rPr>
                <w:sz w:val="22"/>
                <w:szCs w:val="22"/>
              </w:rPr>
              <w:t xml:space="preserve">voluntarily </w:t>
            </w:r>
            <w:r w:rsidRPr="006A673F">
              <w:rPr>
                <w:sz w:val="22"/>
                <w:szCs w:val="22"/>
              </w:rPr>
              <w:t xml:space="preserve">taken part in some form of sporting activity </w:t>
            </w:r>
            <w:r>
              <w:rPr>
                <w:sz w:val="22"/>
                <w:szCs w:val="22"/>
              </w:rPr>
              <w:t xml:space="preserve">before or after </w:t>
            </w:r>
            <w:r w:rsidRPr="006A673F">
              <w:rPr>
                <w:sz w:val="22"/>
                <w:szCs w:val="22"/>
              </w:rPr>
              <w:t>the school day</w:t>
            </w:r>
            <w:r>
              <w:rPr>
                <w:sz w:val="22"/>
                <w:szCs w:val="22"/>
              </w:rPr>
              <w:t xml:space="preserve">. </w:t>
            </w:r>
            <w:r w:rsidR="00A125DA">
              <w:rPr>
                <w:sz w:val="22"/>
                <w:szCs w:val="22"/>
              </w:rPr>
              <w:t xml:space="preserve">This has decreased by 10% since last year. </w:t>
            </w:r>
            <w:r w:rsidR="006B3201">
              <w:rPr>
                <w:sz w:val="22"/>
                <w:szCs w:val="22"/>
              </w:rPr>
              <w:t xml:space="preserve">However, as stated in the table above, </w:t>
            </w:r>
            <w:r w:rsidR="006B3201" w:rsidRPr="006B3201">
              <w:rPr>
                <w:b/>
                <w:sz w:val="22"/>
                <w:szCs w:val="22"/>
              </w:rPr>
              <w:t xml:space="preserve">there has been an increase in achievement across the school since last year. </w:t>
            </w:r>
          </w:p>
          <w:p w:rsidR="00825DFF" w:rsidRPr="006A673F" w:rsidRDefault="00825DFF" w:rsidP="00A125DA">
            <w:pPr>
              <w:tabs>
                <w:tab w:val="left" w:pos="6249"/>
              </w:tabs>
              <w:spacing w:after="120"/>
              <w:rPr>
                <w:sz w:val="22"/>
                <w:szCs w:val="22"/>
                <w:u w:val="single"/>
              </w:rPr>
            </w:pPr>
          </w:p>
          <w:p w:rsidR="00825DFF" w:rsidRDefault="00825DFF" w:rsidP="00A125DA">
            <w:pPr>
              <w:tabs>
                <w:tab w:val="left" w:pos="6249"/>
              </w:tabs>
              <w:spacing w:after="120"/>
              <w:rPr>
                <w:sz w:val="22"/>
                <w:szCs w:val="22"/>
              </w:rPr>
            </w:pPr>
            <w:r w:rsidRPr="006A673F">
              <w:rPr>
                <w:sz w:val="22"/>
                <w:szCs w:val="22"/>
              </w:rPr>
              <w:t>1.</w:t>
            </w:r>
            <w:r w:rsidR="00AD4AC9">
              <w:rPr>
                <w:sz w:val="22"/>
                <w:szCs w:val="22"/>
              </w:rPr>
              <w:t xml:space="preserve"> </w:t>
            </w:r>
            <w:r w:rsidRPr="006A673F">
              <w:rPr>
                <w:sz w:val="22"/>
                <w:szCs w:val="22"/>
              </w:rPr>
              <w:t>Children have been provided with a range of opportunities to take part in sporting activities</w:t>
            </w:r>
            <w:r w:rsidR="00AD4AC9">
              <w:rPr>
                <w:sz w:val="22"/>
                <w:szCs w:val="22"/>
              </w:rPr>
              <w:t xml:space="preserve"> throughout the year</w:t>
            </w:r>
            <w:r w:rsidRPr="006A673F">
              <w:rPr>
                <w:sz w:val="22"/>
                <w:szCs w:val="22"/>
              </w:rPr>
              <w:t>. The children were able to join breakfast and after</w:t>
            </w:r>
            <w:r>
              <w:rPr>
                <w:sz w:val="22"/>
                <w:szCs w:val="22"/>
              </w:rPr>
              <w:t>-</w:t>
            </w:r>
            <w:r w:rsidR="00AD4AC9">
              <w:rPr>
                <w:sz w:val="22"/>
                <w:szCs w:val="22"/>
              </w:rPr>
              <w:t xml:space="preserve">school clubs, with the latter being more popular. During many occasions, breakfast clubs were cancelled due to lack of interest.  </w:t>
            </w:r>
            <w:r w:rsidRPr="006A673F">
              <w:rPr>
                <w:sz w:val="22"/>
                <w:szCs w:val="22"/>
              </w:rPr>
              <w:br/>
            </w:r>
            <w:r w:rsidRPr="006A673F">
              <w:rPr>
                <w:sz w:val="22"/>
                <w:szCs w:val="22"/>
              </w:rPr>
              <w:br/>
              <w:t>2. 100% of pupils took part in our Sports Week. The children develop</w:t>
            </w:r>
            <w:r>
              <w:rPr>
                <w:sz w:val="22"/>
                <w:szCs w:val="22"/>
              </w:rPr>
              <w:t>ed fundamental skills in t</w:t>
            </w:r>
            <w:r w:rsidR="00AD4AC9">
              <w:rPr>
                <w:sz w:val="22"/>
                <w:szCs w:val="22"/>
              </w:rPr>
              <w:t>ennis, athletics and dance and were introduced to more competitive sports. The Year 2 children enjoyed being introduced to invasion games.</w:t>
            </w:r>
            <w:r>
              <w:rPr>
                <w:sz w:val="22"/>
                <w:szCs w:val="22"/>
              </w:rPr>
              <w:br/>
            </w:r>
          </w:p>
          <w:p w:rsidR="00825DFF" w:rsidRDefault="00825DFF" w:rsidP="00A125DA">
            <w:pPr>
              <w:spacing w:after="0" w:line="240" w:lineRule="auto"/>
              <w:rPr>
                <w:sz w:val="22"/>
                <w:szCs w:val="22"/>
              </w:rPr>
            </w:pPr>
            <w:r>
              <w:rPr>
                <w:sz w:val="22"/>
                <w:szCs w:val="22"/>
              </w:rPr>
              <w:t xml:space="preserve">3. </w:t>
            </w:r>
            <w:r w:rsidR="00DE7FD4">
              <w:rPr>
                <w:sz w:val="22"/>
                <w:szCs w:val="22"/>
              </w:rPr>
              <w:t>Mr Vicke</w:t>
            </w:r>
            <w:r w:rsidR="00AD4AC9">
              <w:rPr>
                <w:sz w:val="22"/>
                <w:szCs w:val="22"/>
              </w:rPr>
              <w:t>rs has built a great rapport with all staff and children in the school. PE lessons have been carried out each week, with clear progression, after this was discussed with the directors of Premier Education. Observations have been carried out and assessments have</w:t>
            </w:r>
            <w:r w:rsidR="00DE7FD4">
              <w:rPr>
                <w:sz w:val="22"/>
                <w:szCs w:val="22"/>
              </w:rPr>
              <w:t xml:space="preserve"> been published onto the portal.</w:t>
            </w:r>
            <w:r>
              <w:rPr>
                <w:sz w:val="22"/>
                <w:szCs w:val="22"/>
              </w:rPr>
              <w:br/>
            </w:r>
          </w:p>
          <w:p w:rsidR="00825DFF" w:rsidRDefault="00825DFF" w:rsidP="00A125DA">
            <w:pPr>
              <w:spacing w:after="0" w:line="240" w:lineRule="auto"/>
              <w:rPr>
                <w:sz w:val="22"/>
                <w:szCs w:val="22"/>
              </w:rPr>
            </w:pPr>
            <w:r>
              <w:rPr>
                <w:sz w:val="22"/>
                <w:szCs w:val="22"/>
              </w:rPr>
              <w:t>4. Pre-school have been increasingly provided with more opportunities to take part in sporting activities. During Sports Week, Pre-School were</w:t>
            </w:r>
            <w:r w:rsidR="00AD4AC9">
              <w:rPr>
                <w:sz w:val="22"/>
                <w:szCs w:val="22"/>
              </w:rPr>
              <w:t xml:space="preserve"> provided with the same opportunities as the rest of the school. </w:t>
            </w:r>
            <w:r w:rsidR="002238B0">
              <w:rPr>
                <w:sz w:val="22"/>
                <w:szCs w:val="22"/>
              </w:rPr>
              <w:br/>
            </w:r>
          </w:p>
          <w:p w:rsidR="00825DFF" w:rsidRPr="006A673F" w:rsidRDefault="002238B0" w:rsidP="00DE7FD4">
            <w:pPr>
              <w:rPr>
                <w:sz w:val="22"/>
                <w:szCs w:val="22"/>
              </w:rPr>
            </w:pPr>
            <w:r>
              <w:rPr>
                <w:sz w:val="22"/>
                <w:szCs w:val="22"/>
              </w:rPr>
              <w:t xml:space="preserve">K. Fulton has handed over all information to L. Stocker as she takes on </w:t>
            </w:r>
            <w:r w:rsidR="00DE7FD4">
              <w:rPr>
                <w:sz w:val="22"/>
                <w:szCs w:val="22"/>
              </w:rPr>
              <w:t>the</w:t>
            </w:r>
            <w:r>
              <w:rPr>
                <w:sz w:val="22"/>
                <w:szCs w:val="22"/>
              </w:rPr>
              <w:t xml:space="preserve"> role as PE Leader from September 2019. All PE documents have been sent over to Lisa via email and Sports Day equipment has</w:t>
            </w:r>
            <w:r w:rsidR="00DE7FD4">
              <w:rPr>
                <w:sz w:val="22"/>
                <w:szCs w:val="22"/>
              </w:rPr>
              <w:t xml:space="preserve"> also</w:t>
            </w:r>
            <w:r>
              <w:rPr>
                <w:sz w:val="22"/>
                <w:szCs w:val="22"/>
              </w:rPr>
              <w:t xml:space="preserve"> been passed on. </w:t>
            </w:r>
          </w:p>
        </w:tc>
      </w:tr>
      <w:tr w:rsidR="00825DFF" w:rsidRPr="006A673F" w:rsidTr="00F17ABA">
        <w:tc>
          <w:tcPr>
            <w:tcW w:w="9747" w:type="dxa"/>
            <w:shd w:val="clear" w:color="auto" w:fill="auto"/>
          </w:tcPr>
          <w:p w:rsidR="00825DFF" w:rsidRDefault="00825DFF" w:rsidP="00A125DA">
            <w:pPr>
              <w:rPr>
                <w:sz w:val="22"/>
                <w:szCs w:val="22"/>
              </w:rPr>
            </w:pPr>
            <w:r w:rsidRPr="006A673F">
              <w:rPr>
                <w:sz w:val="22"/>
                <w:szCs w:val="22"/>
              </w:rPr>
              <w:lastRenderedPageBreak/>
              <w:t>Next Steps</w:t>
            </w:r>
            <w:r w:rsidR="002238B0">
              <w:rPr>
                <w:sz w:val="22"/>
                <w:szCs w:val="22"/>
              </w:rPr>
              <w:t>/Recommendations</w:t>
            </w:r>
            <w:r w:rsidRPr="006A673F">
              <w:rPr>
                <w:sz w:val="22"/>
                <w:szCs w:val="22"/>
              </w:rPr>
              <w:t>:</w:t>
            </w:r>
          </w:p>
          <w:p w:rsidR="00AD1F32" w:rsidRPr="006A673F" w:rsidRDefault="00AD1F32" w:rsidP="00A125DA">
            <w:pPr>
              <w:rPr>
                <w:sz w:val="22"/>
                <w:szCs w:val="22"/>
              </w:rPr>
            </w:pPr>
            <w:r>
              <w:rPr>
                <w:sz w:val="22"/>
                <w:szCs w:val="22"/>
              </w:rPr>
              <w:t>Money for Sports Week was not spent as Premier Education very kindly gave us two free full days of sporting sessions for the children. This will need to be spent in 2019-2020. The after-school clubs also allowed us to put £1471.50 which will also be used for sporting events next year.</w:t>
            </w:r>
          </w:p>
          <w:p w:rsidR="00AD4AC9" w:rsidRDefault="00AD4AC9" w:rsidP="00A125DA">
            <w:pPr>
              <w:rPr>
                <w:sz w:val="22"/>
                <w:szCs w:val="22"/>
              </w:rPr>
            </w:pPr>
            <w:r>
              <w:rPr>
                <w:sz w:val="22"/>
                <w:szCs w:val="22"/>
              </w:rPr>
              <w:t xml:space="preserve">Breakfast clubs have been unsuccessful this year, even when asking for parent </w:t>
            </w:r>
            <w:r w:rsidR="00DE7FD4">
              <w:rPr>
                <w:sz w:val="22"/>
                <w:szCs w:val="22"/>
              </w:rPr>
              <w:t xml:space="preserve">support and </w:t>
            </w:r>
            <w:r>
              <w:rPr>
                <w:sz w:val="22"/>
                <w:szCs w:val="22"/>
              </w:rPr>
              <w:t>feedback. We have decided to not have breakfast clubs in place as of September and to work on promoting after-school clubs as these were more popu</w:t>
            </w:r>
            <w:r w:rsidR="002238B0">
              <w:rPr>
                <w:sz w:val="22"/>
                <w:szCs w:val="22"/>
              </w:rPr>
              <w:t>lar. L. Stocker is going to meet with the director of Premier Education to prepare for PE lessons in September. Together, K. Fulton and L. Stocker have discussed the pros and cons of changing the sports clubs every half</w:t>
            </w:r>
            <w:r w:rsidR="00DE7FD4">
              <w:rPr>
                <w:sz w:val="22"/>
                <w:szCs w:val="22"/>
              </w:rPr>
              <w:t xml:space="preserve"> term and L. Stocker will make the final</w:t>
            </w:r>
            <w:r w:rsidR="002238B0">
              <w:rPr>
                <w:sz w:val="22"/>
                <w:szCs w:val="22"/>
              </w:rPr>
              <w:t xml:space="preserve"> decision on whether the club should be a proficien</w:t>
            </w:r>
            <w:r w:rsidR="00DE7FD4">
              <w:rPr>
                <w:sz w:val="22"/>
                <w:szCs w:val="22"/>
              </w:rPr>
              <w:t xml:space="preserve">cy award in a particular sport or to continue alternating. </w:t>
            </w:r>
          </w:p>
          <w:p w:rsidR="002238B0" w:rsidRPr="006A673F" w:rsidRDefault="002238B0" w:rsidP="00A125DA">
            <w:pPr>
              <w:rPr>
                <w:sz w:val="22"/>
                <w:szCs w:val="22"/>
              </w:rPr>
            </w:pPr>
            <w:r>
              <w:rPr>
                <w:sz w:val="22"/>
                <w:szCs w:val="22"/>
              </w:rPr>
              <w:t xml:space="preserve">The timetable for the 2019-2020 PE curriculum will remain the same as the one Miss Fulton put in place as this has worked </w:t>
            </w:r>
            <w:r w:rsidR="00DE7FD4">
              <w:rPr>
                <w:sz w:val="22"/>
                <w:szCs w:val="22"/>
              </w:rPr>
              <w:t>well;</w:t>
            </w:r>
            <w:r>
              <w:rPr>
                <w:sz w:val="22"/>
                <w:szCs w:val="22"/>
              </w:rPr>
              <w:t xml:space="preserve"> givin</w:t>
            </w:r>
            <w:r w:rsidR="00DE7FD4">
              <w:rPr>
                <w:sz w:val="22"/>
                <w:szCs w:val="22"/>
              </w:rPr>
              <w:t xml:space="preserve">g F2 </w:t>
            </w:r>
            <w:proofErr w:type="gramStart"/>
            <w:r w:rsidR="00DE7FD4">
              <w:rPr>
                <w:sz w:val="22"/>
                <w:szCs w:val="22"/>
              </w:rPr>
              <w:t>staff time</w:t>
            </w:r>
            <w:proofErr w:type="gramEnd"/>
            <w:r w:rsidR="00DE7FD4">
              <w:rPr>
                <w:sz w:val="22"/>
                <w:szCs w:val="22"/>
              </w:rPr>
              <w:t xml:space="preserve"> to settle</w:t>
            </w:r>
            <w:r>
              <w:rPr>
                <w:sz w:val="22"/>
                <w:szCs w:val="22"/>
              </w:rPr>
              <w:t xml:space="preserve"> their new cohort</w:t>
            </w:r>
            <w:r w:rsidR="00DE7FD4">
              <w:rPr>
                <w:sz w:val="22"/>
                <w:szCs w:val="22"/>
              </w:rPr>
              <w:t xml:space="preserve"> in the autumn term</w:t>
            </w:r>
            <w:r>
              <w:rPr>
                <w:sz w:val="22"/>
                <w:szCs w:val="22"/>
              </w:rPr>
              <w:t xml:space="preserve">. Pre-school should start being introduced to Mr Vickers as of September, where a 45 minute slot at the start of the day will be available. </w:t>
            </w:r>
          </w:p>
        </w:tc>
      </w:tr>
    </w:tbl>
    <w:p w:rsidR="00825DFF" w:rsidRDefault="00825DFF" w:rsidP="00D302E5"/>
    <w:sectPr w:rsidR="00825DF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091" w:rsidRDefault="00FB1091" w:rsidP="000237E6">
      <w:pPr>
        <w:spacing w:after="0" w:line="240" w:lineRule="auto"/>
      </w:pPr>
      <w:r>
        <w:separator/>
      </w:r>
    </w:p>
  </w:endnote>
  <w:endnote w:type="continuationSeparator" w:id="0">
    <w:p w:rsidR="00FB1091" w:rsidRDefault="00FB1091" w:rsidP="0002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91" w:rsidRPr="00825DFF" w:rsidRDefault="00FB1091">
    <w:pPr>
      <w:pStyle w:val="Footer"/>
      <w:rPr>
        <w:rFonts w:ascii="Comic Sans MS" w:hAnsi="Comic Sans MS"/>
        <w:b/>
        <w:sz w:val="22"/>
      </w:rPr>
    </w:pPr>
    <w:r w:rsidRPr="00825DFF">
      <w:rPr>
        <w:rFonts w:ascii="Comic Sans MS" w:hAnsi="Comic Sans MS"/>
        <w:b/>
        <w:sz w:val="22"/>
        <w:shd w:val="clear" w:color="auto" w:fill="7030A0"/>
      </w:rPr>
      <w:t>Purple</w:t>
    </w:r>
    <w:r w:rsidRPr="00825DFF">
      <w:rPr>
        <w:rFonts w:ascii="Comic Sans MS" w:hAnsi="Comic Sans MS"/>
        <w:b/>
        <w:sz w:val="22"/>
      </w:rPr>
      <w:t xml:space="preserve"> – 17/18</w:t>
    </w:r>
    <w:r w:rsidRPr="00825DFF">
      <w:rPr>
        <w:rFonts w:ascii="Comic Sans MS" w:hAnsi="Comic Sans MS"/>
        <w:b/>
        <w:sz w:val="22"/>
      </w:rPr>
      <w:tab/>
    </w:r>
    <w:r w:rsidRPr="00825DFF">
      <w:rPr>
        <w:rFonts w:ascii="Comic Sans MS" w:hAnsi="Comic Sans MS"/>
        <w:b/>
        <w:sz w:val="22"/>
        <w:shd w:val="clear" w:color="auto" w:fill="95B3D7" w:themeFill="accent1" w:themeFillTint="99"/>
      </w:rPr>
      <w:t>Blue</w:t>
    </w:r>
    <w:r w:rsidRPr="00825DFF">
      <w:rPr>
        <w:rFonts w:ascii="Comic Sans MS" w:hAnsi="Comic Sans MS"/>
        <w:b/>
        <w:sz w:val="22"/>
      </w:rPr>
      <w:t xml:space="preserve"> – 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091" w:rsidRDefault="00FB1091" w:rsidP="000237E6">
      <w:pPr>
        <w:spacing w:after="0" w:line="240" w:lineRule="auto"/>
      </w:pPr>
      <w:r>
        <w:separator/>
      </w:r>
    </w:p>
  </w:footnote>
  <w:footnote w:type="continuationSeparator" w:id="0">
    <w:p w:rsidR="00FB1091" w:rsidRDefault="00FB1091" w:rsidP="00023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91" w:rsidRDefault="00FB1091" w:rsidP="000237E6">
    <w:pPr>
      <w:pStyle w:val="Header"/>
      <w:jc w:val="center"/>
    </w:pPr>
    <w:r w:rsidRPr="00810FA3">
      <w:rPr>
        <w:b/>
        <w:sz w:val="28"/>
        <w:szCs w:val="28"/>
      </w:rPr>
      <w:t>GREASBY INFANT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6112E"/>
    <w:multiLevelType w:val="hybridMultilevel"/>
    <w:tmpl w:val="736E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D8"/>
    <w:rsid w:val="0000496D"/>
    <w:rsid w:val="000237E6"/>
    <w:rsid w:val="001D73D8"/>
    <w:rsid w:val="002238B0"/>
    <w:rsid w:val="002321D0"/>
    <w:rsid w:val="002A68ED"/>
    <w:rsid w:val="003204F9"/>
    <w:rsid w:val="004B47B1"/>
    <w:rsid w:val="00545902"/>
    <w:rsid w:val="005E62C9"/>
    <w:rsid w:val="005F1B71"/>
    <w:rsid w:val="00656CF7"/>
    <w:rsid w:val="00671C89"/>
    <w:rsid w:val="006961D2"/>
    <w:rsid w:val="006A3195"/>
    <w:rsid w:val="006B3201"/>
    <w:rsid w:val="006D7611"/>
    <w:rsid w:val="00720E32"/>
    <w:rsid w:val="00767441"/>
    <w:rsid w:val="00825DFF"/>
    <w:rsid w:val="00831A45"/>
    <w:rsid w:val="008A0AF2"/>
    <w:rsid w:val="009364A8"/>
    <w:rsid w:val="009A3FDE"/>
    <w:rsid w:val="009F4976"/>
    <w:rsid w:val="00A125DA"/>
    <w:rsid w:val="00AB3B33"/>
    <w:rsid w:val="00AC4D06"/>
    <w:rsid w:val="00AD1F32"/>
    <w:rsid w:val="00AD4AC9"/>
    <w:rsid w:val="00B44668"/>
    <w:rsid w:val="00B54153"/>
    <w:rsid w:val="00B93A6B"/>
    <w:rsid w:val="00C455CB"/>
    <w:rsid w:val="00C47FB1"/>
    <w:rsid w:val="00C51294"/>
    <w:rsid w:val="00C610C3"/>
    <w:rsid w:val="00C6212C"/>
    <w:rsid w:val="00C77E93"/>
    <w:rsid w:val="00CF2874"/>
    <w:rsid w:val="00D06D58"/>
    <w:rsid w:val="00D17D83"/>
    <w:rsid w:val="00D302E5"/>
    <w:rsid w:val="00DD2273"/>
    <w:rsid w:val="00DD30CD"/>
    <w:rsid w:val="00DD5438"/>
    <w:rsid w:val="00DE7FD4"/>
    <w:rsid w:val="00E10B99"/>
    <w:rsid w:val="00E725EB"/>
    <w:rsid w:val="00EF0281"/>
    <w:rsid w:val="00F17ABA"/>
    <w:rsid w:val="00FB1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D8"/>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D8"/>
    <w:pPr>
      <w:ind w:left="720"/>
      <w:contextualSpacing/>
    </w:pPr>
    <w:rPr>
      <w:rFonts w:ascii="Calibri" w:hAnsi="Calibri" w:cs="Times New Roman"/>
      <w:sz w:val="22"/>
      <w:szCs w:val="22"/>
    </w:rPr>
  </w:style>
  <w:style w:type="paragraph" w:styleId="Header">
    <w:name w:val="header"/>
    <w:basedOn w:val="Normal"/>
    <w:link w:val="HeaderChar"/>
    <w:uiPriority w:val="99"/>
    <w:unhideWhenUsed/>
    <w:rsid w:val="00023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E6"/>
    <w:rPr>
      <w:rFonts w:ascii="Arial" w:eastAsia="Calibri" w:hAnsi="Arial" w:cs="Arial"/>
      <w:sz w:val="20"/>
      <w:szCs w:val="20"/>
    </w:rPr>
  </w:style>
  <w:style w:type="paragraph" w:styleId="Footer">
    <w:name w:val="footer"/>
    <w:basedOn w:val="Normal"/>
    <w:link w:val="FooterChar"/>
    <w:uiPriority w:val="99"/>
    <w:unhideWhenUsed/>
    <w:rsid w:val="00023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E6"/>
    <w:rPr>
      <w:rFonts w:ascii="Arial" w:eastAsia="Calibri" w:hAnsi="Arial" w:cs="Arial"/>
      <w:sz w:val="20"/>
      <w:szCs w:val="20"/>
    </w:rPr>
  </w:style>
  <w:style w:type="paragraph" w:styleId="BalloonText">
    <w:name w:val="Balloon Text"/>
    <w:basedOn w:val="Normal"/>
    <w:link w:val="BalloonTextChar"/>
    <w:uiPriority w:val="99"/>
    <w:semiHidden/>
    <w:unhideWhenUsed/>
    <w:rsid w:val="00C51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94"/>
    <w:rPr>
      <w:rFonts w:ascii="Tahoma" w:eastAsia="Calibri" w:hAnsi="Tahoma" w:cs="Tahoma"/>
      <w:sz w:val="16"/>
      <w:szCs w:val="16"/>
    </w:rPr>
  </w:style>
  <w:style w:type="table" w:styleId="TableGrid">
    <w:name w:val="Table Grid"/>
    <w:basedOn w:val="TableNormal"/>
    <w:uiPriority w:val="59"/>
    <w:rsid w:val="0082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D8"/>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3D8"/>
    <w:pPr>
      <w:ind w:left="720"/>
      <w:contextualSpacing/>
    </w:pPr>
    <w:rPr>
      <w:rFonts w:ascii="Calibri" w:hAnsi="Calibri" w:cs="Times New Roman"/>
      <w:sz w:val="22"/>
      <w:szCs w:val="22"/>
    </w:rPr>
  </w:style>
  <w:style w:type="paragraph" w:styleId="Header">
    <w:name w:val="header"/>
    <w:basedOn w:val="Normal"/>
    <w:link w:val="HeaderChar"/>
    <w:uiPriority w:val="99"/>
    <w:unhideWhenUsed/>
    <w:rsid w:val="00023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7E6"/>
    <w:rPr>
      <w:rFonts w:ascii="Arial" w:eastAsia="Calibri" w:hAnsi="Arial" w:cs="Arial"/>
      <w:sz w:val="20"/>
      <w:szCs w:val="20"/>
    </w:rPr>
  </w:style>
  <w:style w:type="paragraph" w:styleId="Footer">
    <w:name w:val="footer"/>
    <w:basedOn w:val="Normal"/>
    <w:link w:val="FooterChar"/>
    <w:uiPriority w:val="99"/>
    <w:unhideWhenUsed/>
    <w:rsid w:val="00023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7E6"/>
    <w:rPr>
      <w:rFonts w:ascii="Arial" w:eastAsia="Calibri" w:hAnsi="Arial" w:cs="Arial"/>
      <w:sz w:val="20"/>
      <w:szCs w:val="20"/>
    </w:rPr>
  </w:style>
  <w:style w:type="paragraph" w:styleId="BalloonText">
    <w:name w:val="Balloon Text"/>
    <w:basedOn w:val="Normal"/>
    <w:link w:val="BalloonTextChar"/>
    <w:uiPriority w:val="99"/>
    <w:semiHidden/>
    <w:unhideWhenUsed/>
    <w:rsid w:val="00C51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94"/>
    <w:rPr>
      <w:rFonts w:ascii="Tahoma" w:eastAsia="Calibri" w:hAnsi="Tahoma" w:cs="Tahoma"/>
      <w:sz w:val="16"/>
      <w:szCs w:val="16"/>
    </w:rPr>
  </w:style>
  <w:style w:type="table" w:styleId="TableGrid">
    <w:name w:val="Table Grid"/>
    <w:basedOn w:val="TableNormal"/>
    <w:uiPriority w:val="59"/>
    <w:rsid w:val="0082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Fulton</dc:creator>
  <cp:lastModifiedBy>Sharon Preston</cp:lastModifiedBy>
  <cp:revision>2</cp:revision>
  <cp:lastPrinted>2019-07-23T09:57:00Z</cp:lastPrinted>
  <dcterms:created xsi:type="dcterms:W3CDTF">2019-09-05T12:29:00Z</dcterms:created>
  <dcterms:modified xsi:type="dcterms:W3CDTF">2019-09-05T12:29:00Z</dcterms:modified>
</cp:coreProperties>
</file>